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822" w:rsidRDefault="00E51822" w:rsidP="00E51822">
      <w:pPr>
        <w:pStyle w:val="Default"/>
      </w:pPr>
    </w:p>
    <w:p w:rsidR="00E51822" w:rsidRPr="00E51822" w:rsidRDefault="00E51822" w:rsidP="00E51822">
      <w:pPr>
        <w:pStyle w:val="Default"/>
        <w:ind w:firstLine="708"/>
        <w:jc w:val="both"/>
        <w:rPr>
          <w:sz w:val="26"/>
          <w:szCs w:val="26"/>
        </w:rPr>
      </w:pPr>
      <w:r w:rsidRPr="00E51822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6</w:t>
      </w:r>
      <w:r w:rsidRPr="00E5182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июн</w:t>
      </w:r>
      <w:r w:rsidRPr="00E51822">
        <w:rPr>
          <w:b/>
          <w:bCs/>
          <w:sz w:val="26"/>
          <w:szCs w:val="26"/>
        </w:rPr>
        <w:t xml:space="preserve">я 2023 года состоялось очередное заседание Коллегии Контрольно-счетной палаты Забайкальского края. </w:t>
      </w: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t xml:space="preserve">По </w:t>
      </w:r>
      <w:r w:rsidRPr="0088790A">
        <w:rPr>
          <w:b/>
          <w:bCs/>
        </w:rPr>
        <w:t xml:space="preserve">первому вопросу </w:t>
      </w:r>
      <w:r w:rsidRPr="0088790A">
        <w:t xml:space="preserve">повестки заседания Коллегии рассмотрены и утверждены материалы контрольного мероприятия </w:t>
      </w:r>
      <w:r w:rsidRPr="0088790A">
        <w:rPr>
          <w:b/>
          <w:bCs/>
        </w:rPr>
        <w:t>«Проверка законности, эффективности, обоснованности и целесообразности использования средств бюджета Забайкальского края, выделенных</w:t>
      </w:r>
      <w:r w:rsidRPr="0088790A">
        <w:rPr>
          <w:b/>
          <w:bCs/>
        </w:rPr>
        <w:t xml:space="preserve"> </w:t>
      </w:r>
      <w:r w:rsidRPr="0088790A">
        <w:rPr>
          <w:b/>
          <w:bCs/>
        </w:rPr>
        <w:t>на проведение мероприятий по строительству</w:t>
      </w:r>
      <w:r w:rsidRPr="0088790A">
        <w:rPr>
          <w:b/>
          <w:bCs/>
        </w:rPr>
        <w:t xml:space="preserve"> </w:t>
      </w:r>
      <w:r w:rsidRPr="0088790A">
        <w:rPr>
          <w:b/>
          <w:bCs/>
        </w:rPr>
        <w:t xml:space="preserve">и реконструкции (модернизации) объектов питьевого водоснабжения в рамках реализации регионального проекта «Чистая вода». </w:t>
      </w: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t>Контрольное мероприятие проведено на основании пункта 1.</w:t>
      </w:r>
      <w:r w:rsidRPr="0088790A">
        <w:t>2</w:t>
      </w:r>
      <w:r w:rsidRPr="0088790A">
        <w:t xml:space="preserve"> Плана контрольных и экспертно-аналитических мероприятий Контрольно-счетной палаты Забайкальского края на 2023 год </w:t>
      </w:r>
      <w:r w:rsidRPr="0088790A">
        <w:t xml:space="preserve">в Министерстве жилищно-коммунального хозяйства, энергетики, </w:t>
      </w:r>
      <w:proofErr w:type="spellStart"/>
      <w:r w:rsidRPr="0088790A">
        <w:t>цифровизации</w:t>
      </w:r>
      <w:proofErr w:type="spellEnd"/>
      <w:r w:rsidRPr="0088790A">
        <w:t xml:space="preserve"> и связи Забайкальского края, Министерстве строительства, дорожного хозяйства и транспорта Забайкальского края, в Государственном казенном учреждении «Служба единого заказчика» Забайкальского края</w:t>
      </w:r>
      <w:r w:rsidRPr="0088790A">
        <w:t xml:space="preserve">. </w:t>
      </w:r>
    </w:p>
    <w:p w:rsidR="00E51822" w:rsidRPr="0088790A" w:rsidRDefault="00E51822" w:rsidP="00E51822">
      <w:pPr>
        <w:pStyle w:val="Default"/>
        <w:ind w:firstLine="708"/>
        <w:jc w:val="both"/>
        <w:rPr>
          <w:i/>
          <w:iCs/>
          <w:sz w:val="16"/>
          <w:szCs w:val="16"/>
        </w:rPr>
      </w:pP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rPr>
          <w:i/>
          <w:iCs/>
        </w:rPr>
        <w:t xml:space="preserve">По результатам контрольного мероприятия сделаны следующие выводы: </w:t>
      </w: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t>1. Реализация регионального проекта «Чистая вода» по итогам 2019-2022 годов не позволила в полном объеме достичь запланированного результата – строительство и реконструкция крупных объектов питьевого водоснабжения в количестве 3-х единиц.  По состоянию на 31.03.2023 не введены в эксплуатацию 2 объекта: «Станция водоподготовки воды из артезианских скважин ВНС «Рахова» и «Станция водоподготовки воды из артезианских скважин ВНС «Сапун-гора (</w:t>
      </w:r>
      <w:proofErr w:type="spellStart"/>
      <w:r w:rsidRPr="0088790A">
        <w:t>Черновская</w:t>
      </w:r>
      <w:proofErr w:type="spellEnd"/>
      <w:r w:rsidRPr="0088790A">
        <w:t xml:space="preserve">)». </w:t>
      </w: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t>Показатели результативности не достигнуты.</w:t>
      </w: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t>Отчетные данные за 2022 год о степени реализации регионального проекта в части строительства и реконструкция крупных объектов питьевого водоснабжения недостоверны.</w:t>
      </w: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t xml:space="preserve">Учитывая динамику строительства (по состоянию на 31.03.2023 введен только 1 объект питьевого водоснабжения), существуют риски </w:t>
      </w:r>
      <w:proofErr w:type="spellStart"/>
      <w:r w:rsidRPr="0088790A">
        <w:t>недостижения</w:t>
      </w:r>
      <w:proofErr w:type="spellEnd"/>
      <w:r w:rsidRPr="0088790A">
        <w:t xml:space="preserve"> прогнозируемых показателей реализации регионального проекта «Чистая вода» в целом.</w:t>
      </w: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t>2. Существуют риски нанесения материального ущерба Забайкальскому краю в случае строительства объектов питьевого водоснабжения и водоподготовки на земельных участках, расположенных в городе Хилок и селе Улеты Забайкальского края, находящихся в зоне затопления, подтопления (на момент проверки в сумме 96072,0 тыс. рублей).</w:t>
      </w: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t>3. В результате неготовности Забайкальского края к реализации мероприятий регионального проекта «Чистая вода» показатели регионального проекта в период с 2019 года существенно откорректированы в сторону уменьшения. Актуальные показатели существенно ниже среднероссийских.</w:t>
      </w: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t>4.  Деятельность Министерства ЖКХ Забайкальского края, как руководителя регионального проекта, в части контроля и координации, Минстроя Забайкальского края, как главного распорядителя бюджетных средств, можно оценить, как недостаточно эффективную:</w:t>
      </w: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t xml:space="preserve">- не разработан регламент взаимодействия между участниками регионального проекта в части распределения функций, сроков согласования и рассмотрения документов; </w:t>
      </w: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t>- планирование показателей для включения в региональный проект осуществлялось без учета готовности Забайкальского края к их реализации;</w:t>
      </w: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t xml:space="preserve">- отмечаются факты </w:t>
      </w:r>
      <w:proofErr w:type="spellStart"/>
      <w:r w:rsidRPr="0088790A">
        <w:t>неоперативности</w:t>
      </w:r>
      <w:proofErr w:type="spellEnd"/>
      <w:r w:rsidRPr="0088790A">
        <w:t xml:space="preserve"> принятия решений, принятия неэффективных управленческих решений, что отрицательно отразилось на сроках реализации регионального проекта; </w:t>
      </w: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t>- необходимые изменения в нормативную правовую базу вносятся несвоевременно, не обеспечена согласованность документов стратегического планирования;</w:t>
      </w: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t>- допускаются нарушения положений соглашений, заключенных с Министерством строительства и жилищно-коммунального хозяйства Российской Федерации.</w:t>
      </w: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lastRenderedPageBreak/>
        <w:t>5. Расходование средств ГКУ «Служба единого заказчика» Забайкальского края осуществляется с нарушениями и недостатками.</w:t>
      </w: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t>6. Показатели государственной программы Забайкальского края «Развитие жилищно-коммунального хозяйства Забайкальского края», региональной программы Забайкальского края «Повышение качества водоснабжения Заб</w:t>
      </w:r>
      <w:r w:rsidRPr="0088790A">
        <w:t>айкальского края»,</w:t>
      </w:r>
      <w:r w:rsidRPr="0088790A">
        <w:t xml:space="preserve"> документов стратегического планирования не согласованы с показателями паспорта регионального проекта «Чистая вода», указанные акты не актуализированы.</w:t>
      </w:r>
    </w:p>
    <w:p w:rsidR="00E51822" w:rsidRPr="0088790A" w:rsidRDefault="00E51822" w:rsidP="00E51822">
      <w:pPr>
        <w:pStyle w:val="Default"/>
        <w:ind w:firstLine="708"/>
        <w:jc w:val="both"/>
        <w:rPr>
          <w:sz w:val="16"/>
          <w:szCs w:val="16"/>
        </w:rPr>
      </w:pP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t>Общая сумма нарушений, выявленных в ходе проверки, составила 5 113,94 тыс. рублей, в том числе: оплата фактически невыполненных работ – 2 356,35 тыс. рублей; ненадлежащее исполнение полномочий получателя бюджетных средств при исполнении бюджета по расходам – 2 486,87 тыс. рублей; использование денежных средств без достижения результата – 270,72 тыс. рублей.</w:t>
      </w:r>
    </w:p>
    <w:p w:rsidR="00E51822" w:rsidRPr="0088790A" w:rsidRDefault="00E51822" w:rsidP="00E51822">
      <w:pPr>
        <w:pStyle w:val="Default"/>
        <w:ind w:firstLine="708"/>
        <w:jc w:val="both"/>
        <w:rPr>
          <w:sz w:val="16"/>
          <w:szCs w:val="16"/>
        </w:rPr>
      </w:pP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rPr>
          <w:i/>
          <w:iCs/>
        </w:rPr>
        <w:t xml:space="preserve">По результатам контрольного мероприятия предложено: </w:t>
      </w: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t xml:space="preserve">1. Министерству жилищно-коммунального хозяйства, энергетики, </w:t>
      </w:r>
      <w:proofErr w:type="spellStart"/>
      <w:r w:rsidRPr="0088790A">
        <w:t>цифровизации</w:t>
      </w:r>
      <w:proofErr w:type="spellEnd"/>
      <w:r w:rsidRPr="0088790A">
        <w:t xml:space="preserve"> и связи Забайкальского края, Министерству строительства, дорожного хозяйства и транспорта Забайкальского края:</w:t>
      </w: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t>1.1. Принять необходимые меры по исполнению целевых показателей паспорта регионального проекта «Чистая вода».</w:t>
      </w: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t xml:space="preserve">1.2. Инициировать разработку формализованного порядка взаимодействия участников регионального проекта «Чистая вода». </w:t>
      </w: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t>1.3. Обеспечить согласованность государственной программы Забайкальского края «Развитие жилищно-коммунального хозяйства Забайкальского края», региональной программы Забайкальского края «Повышение качества водоснабжения Забайкальского края», документов стратегического планирования и показателей регионального проекта «Чистая вода».</w:t>
      </w: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t>1.4. Усилить координационную, аналитическую и контрольную функции с учетом замечаний КСП Забайкальского края.</w:t>
      </w: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t>1.5. Принять меры по недопущению нарушений и недостатков, отраженных в материалах контрольного мероприятия.</w:t>
      </w: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t>4. Министерству строительства, дорожного хозяйства и транспорта Забайкальского края, ГКУ «Служба единого заказчика» Забайкальского края: принять меры по предотвращению нанесения материального ущерба Забайкальскому краю в результате строительства объектов питьевого водоснабжения и водоподготовки на земельных участках, расположенных в городе Хилок и селе Улеты Забайкальского края, находящихся в зоне затопления, подтопления.</w:t>
      </w: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t xml:space="preserve">  3. ГКУ «Служба единого заказчика» Забайкальского края принять меры, направленные на:</w:t>
      </w: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t>- обеспечение ввода в эксплуатацию 2 объектов: «Станция водоподготовки воды из артезианских скважин ВНС «Рахова» и «Станция водоподготовки воды из артезианских скважин ВНС «Сапун-гора (</w:t>
      </w:r>
      <w:proofErr w:type="spellStart"/>
      <w:r w:rsidRPr="0088790A">
        <w:t>Черновская</w:t>
      </w:r>
      <w:proofErr w:type="spellEnd"/>
      <w:r w:rsidRPr="0088790A">
        <w:t>)»;</w:t>
      </w: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t>- устранение выявленных в ходе контрольного мероприятия нарушений в виде оплаты фактически не выполненных работ;</w:t>
      </w:r>
    </w:p>
    <w:p w:rsidR="00E51822" w:rsidRPr="0088790A" w:rsidRDefault="00E51822" w:rsidP="00E51822">
      <w:pPr>
        <w:pStyle w:val="Default"/>
        <w:ind w:firstLine="708"/>
        <w:jc w:val="both"/>
        <w:rPr>
          <w:i/>
          <w:iCs/>
        </w:rPr>
      </w:pPr>
      <w:r w:rsidRPr="0088790A">
        <w:t xml:space="preserve"> -  недопущение нарушений и недостатков, отраженных в материалах контрольного мероприятия.</w:t>
      </w:r>
    </w:p>
    <w:p w:rsidR="00E51822" w:rsidRPr="0088790A" w:rsidRDefault="00E51822" w:rsidP="00E51822">
      <w:pPr>
        <w:pStyle w:val="Default"/>
        <w:ind w:firstLine="708"/>
        <w:jc w:val="both"/>
        <w:rPr>
          <w:i/>
          <w:iCs/>
          <w:sz w:val="16"/>
          <w:szCs w:val="16"/>
        </w:rPr>
      </w:pPr>
      <w:bookmarkStart w:id="0" w:name="_GoBack"/>
      <w:bookmarkEnd w:id="0"/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rPr>
          <w:i/>
          <w:iCs/>
        </w:rPr>
        <w:t xml:space="preserve">По результатам рассмотрения материалов контрольного мероприятия Коллегией КСП принято решение: </w:t>
      </w: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t>1. Направить отчет о результатах контрольного мероприятия в Законодательное Собрание Забайкальского края для рассмотрения.</w:t>
      </w: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t>2. Направить отчет о результатах контрольного мероприятия для рассмотрения и принятия мер:</w:t>
      </w: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lastRenderedPageBreak/>
        <w:t>- Губернатору Забайкальского края;</w:t>
      </w: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t xml:space="preserve">- в Министерство жилищно-коммунального хозяйства, энергетики, </w:t>
      </w:r>
      <w:proofErr w:type="spellStart"/>
      <w:r w:rsidRPr="0088790A">
        <w:t>цифровизации</w:t>
      </w:r>
      <w:proofErr w:type="spellEnd"/>
      <w:r w:rsidRPr="0088790A">
        <w:t xml:space="preserve"> и связи Забайкальского края;</w:t>
      </w: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t>- в Министерство строительства, дорожного хозяйства и транспорта Забайкальского края.</w:t>
      </w: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t>3</w:t>
      </w:r>
      <w:r w:rsidRPr="0088790A">
        <w:t>. Направить представления в:</w:t>
      </w: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t xml:space="preserve">- Министерство жилищно-коммунального хозяйства, энергетики, </w:t>
      </w:r>
      <w:proofErr w:type="spellStart"/>
      <w:r w:rsidRPr="0088790A">
        <w:t>цифровизации</w:t>
      </w:r>
      <w:proofErr w:type="spellEnd"/>
      <w:r w:rsidRPr="0088790A">
        <w:t xml:space="preserve"> и связи Забайкальского края;</w:t>
      </w: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t>- Министерство строительства, дорожного хозяйства и транспорта Забайкальского края;</w:t>
      </w: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t>- ГКУ «Служба единого заказчика» Забайкальского края.</w:t>
      </w: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t>4. Направить информационные письма в:</w:t>
      </w: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t xml:space="preserve">- Министерство жилищно-коммунального хозяйства, энергетики, </w:t>
      </w:r>
      <w:proofErr w:type="spellStart"/>
      <w:r w:rsidRPr="0088790A">
        <w:t>цифровизации</w:t>
      </w:r>
      <w:proofErr w:type="spellEnd"/>
      <w:r w:rsidRPr="0088790A">
        <w:t xml:space="preserve"> и связи Забайкальского края;</w:t>
      </w: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t>- Министерство строительства, дорожного хозяйства и транспорта Забайкальского края;</w:t>
      </w: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t>- ГКУ «Служба единого заказчика» Забайкальского края;</w:t>
      </w: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t>- Министерство финансов Забайкальского края – орган, осуществляющий контроль в сфере закупок товаров, работ, услуг для обеспечения государственных и муниципальных нужд;</w:t>
      </w: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t>- Министерство природных ресурсов Забайкальского края;</w:t>
      </w: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t>- Управление проектной деятельности (проектный офис Забайкальского края) Администрации Губернатора Забайкальского края;</w:t>
      </w: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t>-  ГАУ «Государственная экспертиза Забайкальского края».</w:t>
      </w: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t>5. Направить отчет о результатах контрольного мероприятия в:</w:t>
      </w:r>
    </w:p>
    <w:p w:rsidR="00E51822" w:rsidRPr="0088790A" w:rsidRDefault="00E51822" w:rsidP="00E51822">
      <w:pPr>
        <w:pStyle w:val="Default"/>
        <w:ind w:firstLine="708"/>
        <w:jc w:val="both"/>
      </w:pPr>
      <w:r w:rsidRPr="0088790A">
        <w:t>- Прокуратуру Забайкальского края;</w:t>
      </w:r>
    </w:p>
    <w:p w:rsidR="009E54D7" w:rsidRPr="0088790A" w:rsidRDefault="00E51822" w:rsidP="00E51822">
      <w:pPr>
        <w:pStyle w:val="Default"/>
        <w:ind w:firstLine="708"/>
        <w:jc w:val="both"/>
      </w:pPr>
      <w:r w:rsidRPr="0088790A">
        <w:t xml:space="preserve">- Природоохранную </w:t>
      </w:r>
      <w:r w:rsidR="00275BC8" w:rsidRPr="0088790A">
        <w:t>п</w:t>
      </w:r>
      <w:r w:rsidRPr="0088790A">
        <w:t>рокуратуру Забайкальского края.</w:t>
      </w:r>
    </w:p>
    <w:sectPr w:rsidR="009E54D7" w:rsidRPr="0088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E6"/>
    <w:rsid w:val="000A3E5B"/>
    <w:rsid w:val="0012655E"/>
    <w:rsid w:val="00275BC8"/>
    <w:rsid w:val="00354B3B"/>
    <w:rsid w:val="003974CF"/>
    <w:rsid w:val="00444AA1"/>
    <w:rsid w:val="00460589"/>
    <w:rsid w:val="00490CE6"/>
    <w:rsid w:val="0088790A"/>
    <w:rsid w:val="00894EAF"/>
    <w:rsid w:val="00982A76"/>
    <w:rsid w:val="009E54D7"/>
    <w:rsid w:val="00E5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AE34"/>
  <w15:chartTrackingRefBased/>
  <w15:docId w15:val="{9DE6A97D-B002-4A5C-83C4-2607B8FA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18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Валентиновна Татаринова</dc:creator>
  <cp:keywords/>
  <dc:description/>
  <cp:lastModifiedBy>Ольга Анатольевна Дутченко</cp:lastModifiedBy>
  <cp:revision>4</cp:revision>
  <dcterms:created xsi:type="dcterms:W3CDTF">2023-05-18T03:05:00Z</dcterms:created>
  <dcterms:modified xsi:type="dcterms:W3CDTF">2023-06-28T05:27:00Z</dcterms:modified>
</cp:coreProperties>
</file>