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8D" w:rsidRPr="00125EAC" w:rsidRDefault="005B178D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178D" w:rsidRPr="00125EAC" w:rsidRDefault="005B178D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587B" w:rsidRPr="00125EAC" w:rsidRDefault="0002587B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5B178D" w:rsidRPr="00125EAC" w:rsidRDefault="0002587B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5EAC">
        <w:rPr>
          <w:rFonts w:ascii="Times New Roman" w:eastAsia="Calibri" w:hAnsi="Times New Roman" w:cs="Times New Roman"/>
          <w:b/>
          <w:sz w:val="26"/>
          <w:szCs w:val="26"/>
        </w:rPr>
        <w:t>08 ноября</w:t>
      </w:r>
      <w:r w:rsidR="005B178D" w:rsidRPr="00125EAC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 w:rsidRPr="00125EAC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5B178D" w:rsidRPr="00125EAC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  <w:r w:rsidR="005B178D" w:rsidRPr="00125E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178D" w:rsidRPr="00125EAC">
        <w:rPr>
          <w:rFonts w:ascii="Times New Roman" w:eastAsia="Calibri" w:hAnsi="Times New Roman" w:cs="Times New Roman"/>
          <w:b/>
          <w:sz w:val="26"/>
          <w:szCs w:val="26"/>
        </w:rPr>
        <w:t>состоялось очередное заседание Коллегии Контрольно-счетной палаты Забайкальского края</w:t>
      </w:r>
      <w:r w:rsidR="00125EAC">
        <w:rPr>
          <w:rFonts w:ascii="Times New Roman" w:eastAsia="Calibri" w:hAnsi="Times New Roman" w:cs="Times New Roman"/>
          <w:b/>
          <w:sz w:val="26"/>
          <w:szCs w:val="26"/>
        </w:rPr>
        <w:t xml:space="preserve"> (далее – КСП)</w:t>
      </w:r>
      <w:r w:rsidR="005B178D" w:rsidRPr="00125EA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</w:p>
    <w:p w:rsidR="0002587B" w:rsidRPr="00125EAC" w:rsidRDefault="0002587B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587B" w:rsidRPr="00125EAC" w:rsidRDefault="00836FCA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i/>
          <w:sz w:val="26"/>
          <w:szCs w:val="26"/>
        </w:rPr>
        <w:t>По первому вопросу</w:t>
      </w:r>
      <w:r w:rsidRPr="00125EAC">
        <w:rPr>
          <w:rFonts w:ascii="Times New Roman" w:eastAsia="Calibri" w:hAnsi="Times New Roman" w:cs="Times New Roman"/>
          <w:sz w:val="26"/>
          <w:szCs w:val="26"/>
        </w:rPr>
        <w:t xml:space="preserve"> повестки заседания Коллегии</w:t>
      </w:r>
      <w:r w:rsidR="0002587B" w:rsidRPr="00125EAC">
        <w:rPr>
          <w:rFonts w:ascii="Times New Roman" w:eastAsia="Calibri" w:hAnsi="Times New Roman" w:cs="Times New Roman"/>
          <w:sz w:val="26"/>
          <w:szCs w:val="26"/>
        </w:rPr>
        <w:t xml:space="preserve"> было рассмотрено заключение на проект закона «О бюджете Забайкальского края на 2022 год и плановый период 2023 и 2024 годов».</w:t>
      </w:r>
    </w:p>
    <w:p w:rsidR="00836FCA" w:rsidRPr="00125EAC" w:rsidRDefault="00836FCA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По результатам экспертно-аналитического мероприятия сделаны следующие выводы:</w:t>
      </w:r>
    </w:p>
    <w:p w:rsidR="00836FCA" w:rsidRPr="00125EAC" w:rsidRDefault="00836FCA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 xml:space="preserve">Проект закона Забайкальского края «О бюджете Забайкальского края на 2022 год и плановый период 2023 и 2024 годов» составлен в соответствии с требованиями бюджетного законодательства.  </w:t>
      </w:r>
    </w:p>
    <w:p w:rsidR="00836FCA" w:rsidRPr="00125EAC" w:rsidRDefault="00836FCA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Законопроект о бюджете Забайкальского края сформирован в следующих объемах:</w:t>
      </w:r>
    </w:p>
    <w:p w:rsidR="00836FCA" w:rsidRPr="00125EAC" w:rsidRDefault="00836FCA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- по доходам:  на  2022  год – 88 274 175,5 тыс. рублей, в том числе налоговые и неналоговые доходы – 51 460 153,7 тыс. рублей, безвозмездные поступления – 36 814 021,8 тыс. рублей; на 2023 год – 83 554 265,3 тыс. рублей, в том числе налоговые и неналоговые доходы – 56 254 078,8 тыс. рублей, безвозмездные поступления – 27 300 177,5 тыс. рублей; на 2024 год – 87 899 187,7 тыс. рублей, в  том  числе  налоговые и  неналоговые доходы – 59 671 609,0 тыс. рублей, безвозмездные поступления – 28 227 578,7 тыс. рублей.</w:t>
      </w:r>
    </w:p>
    <w:p w:rsidR="00836FCA" w:rsidRPr="00125EAC" w:rsidRDefault="00836FCA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- расходы: на 2022 год в сумме 90 953 740,7 тыс. рублей, на 2023 год – 85 909 051,5 тыс. рублей, на 2024 год – 88 219 560,5 тыс. рублей (с учетом условно утверждаемых на плановый период расходов), что ниже ожидаемого исполнения в 2021 г</w:t>
      </w:r>
      <w:r w:rsidR="006B3EFF" w:rsidRPr="00125EAC">
        <w:rPr>
          <w:rFonts w:ascii="Times New Roman" w:eastAsia="Calibri" w:hAnsi="Times New Roman" w:cs="Times New Roman"/>
          <w:sz w:val="26"/>
          <w:szCs w:val="26"/>
        </w:rPr>
        <w:t>оду (101 778 784,5 тыс. рублей);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- дефицит бюджета края в размере 2 679 565,2 тыс. рублей (0,7% к ВРП) с последующим его уменьшением в 2023 и 2024 годах (2 354 795,2 тыс. рублей и 320 372,8 тыс. рублей, соответственно). Ограничения по предельному размеру дефицита краевого бюджета, определенные статьей 92.1 Бюджетного кодекса РФ, соблюдены.</w:t>
      </w:r>
    </w:p>
    <w:p w:rsidR="00836FCA" w:rsidRPr="00125EAC" w:rsidRDefault="00836FCA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 xml:space="preserve">В проекте закона </w:t>
      </w:r>
      <w:r w:rsidR="00AC1A69">
        <w:rPr>
          <w:rFonts w:ascii="Times New Roman" w:eastAsia="Calibri" w:hAnsi="Times New Roman" w:cs="Times New Roman"/>
          <w:sz w:val="26"/>
          <w:szCs w:val="26"/>
        </w:rPr>
        <w:t xml:space="preserve">предусмотрены </w:t>
      </w:r>
      <w:r w:rsidRPr="00125EAC">
        <w:rPr>
          <w:rFonts w:ascii="Times New Roman" w:eastAsia="Calibri" w:hAnsi="Times New Roman" w:cs="Times New Roman"/>
          <w:sz w:val="26"/>
          <w:szCs w:val="26"/>
        </w:rPr>
        <w:t xml:space="preserve">бюджетные ассигнования на реализацию мероприятий 29 государственных программ в следующих объемах: на 2022 год – 83 537 275,6 тыс. рублей (91,8% от общего объема расходов); на 2023 год – 76 134 142,1 тыс. рублей (90,4% от общего объема расходов без учета условно утверждаемых); на 2024 год – 78 217 037,0 тыс. рублей (92,2% от общего объема расходов без учета условно утверждаемых). </w:t>
      </w:r>
    </w:p>
    <w:p w:rsidR="00836FCA" w:rsidRPr="00125EAC" w:rsidRDefault="00836FCA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Проектом закона о краевом бюджете в рамках 11 национальных проектов и Комплексного плана модернизации и расширения магистральной инфраструктуры предусмотрено финансирование мероприятий на реализацию в 2022 году 32 региональных проектов в объеме 15 489 785,5 тыс. рублей, или 17,0% от общей суммы предлагаемых расходов бюджета края; в 2023 году 31 регионального проекта в объеме 15 283 247,9 тыс. рублей (17,8%); в 2024 году 27 региональных проектов в объеме 16 016 666,5 тыс. рублей (18,2%).</w:t>
      </w:r>
    </w:p>
    <w:p w:rsidR="00836FCA" w:rsidRPr="00125EAC" w:rsidRDefault="00836FCA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 xml:space="preserve">В проекте закона учтен ряд рекомендаций </w:t>
      </w:r>
      <w:r w:rsidR="00C057C7">
        <w:rPr>
          <w:rFonts w:ascii="Times New Roman" w:eastAsia="Calibri" w:hAnsi="Times New Roman" w:cs="Times New Roman"/>
          <w:sz w:val="26"/>
          <w:szCs w:val="26"/>
        </w:rPr>
        <w:t>КСП</w:t>
      </w:r>
      <w:r w:rsidRPr="00125EAC">
        <w:rPr>
          <w:rFonts w:ascii="Times New Roman" w:eastAsia="Calibri" w:hAnsi="Times New Roman" w:cs="Times New Roman"/>
          <w:sz w:val="26"/>
          <w:szCs w:val="26"/>
        </w:rPr>
        <w:t>, в том числе:</w:t>
      </w:r>
    </w:p>
    <w:p w:rsidR="00836FCA" w:rsidRPr="00125EAC" w:rsidRDefault="00836FCA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- впервые предусмотрены расходы на выплату региональной доли районного коэффициента работникам государственных учреждений здравоохранения, работающих в системе обязате</w:t>
      </w:r>
      <w:r w:rsidR="00F53F0E">
        <w:rPr>
          <w:rFonts w:ascii="Times New Roman" w:eastAsia="Calibri" w:hAnsi="Times New Roman" w:cs="Times New Roman"/>
          <w:sz w:val="26"/>
          <w:szCs w:val="26"/>
        </w:rPr>
        <w:t>льного медицинского страхования</w:t>
      </w:r>
      <w:r w:rsidRPr="00125EAC">
        <w:rPr>
          <w:rFonts w:ascii="Times New Roman" w:eastAsia="Calibri" w:hAnsi="Times New Roman" w:cs="Times New Roman"/>
          <w:sz w:val="26"/>
          <w:szCs w:val="26"/>
        </w:rPr>
        <w:t xml:space="preserve">. По оценке </w:t>
      </w:r>
      <w:r w:rsidR="00F53F0E">
        <w:rPr>
          <w:rFonts w:ascii="Times New Roman" w:eastAsia="Calibri" w:hAnsi="Times New Roman" w:cs="Times New Roman"/>
          <w:sz w:val="26"/>
          <w:szCs w:val="26"/>
        </w:rPr>
        <w:t>КСП</w:t>
      </w:r>
      <w:r w:rsidRPr="00125EAC">
        <w:rPr>
          <w:rFonts w:ascii="Times New Roman" w:eastAsia="Calibri" w:hAnsi="Times New Roman" w:cs="Times New Roman"/>
          <w:sz w:val="26"/>
          <w:szCs w:val="26"/>
        </w:rPr>
        <w:t xml:space="preserve">, это позволит в 2022 году оздоровить финансовое состояние медицинских организаций, в том числе </w:t>
      </w:r>
      <w:r w:rsidRPr="00125EAC">
        <w:rPr>
          <w:rFonts w:ascii="Times New Roman" w:eastAsia="Calibri" w:hAnsi="Times New Roman" w:cs="Times New Roman"/>
          <w:sz w:val="26"/>
          <w:szCs w:val="26"/>
        </w:rPr>
        <w:lastRenderedPageBreak/>
        <w:t>значительно снизить объем просроченной кредиторской задолженности государственных учреждений здравоохранения по средствам обязательного медицинского;</w:t>
      </w:r>
    </w:p>
    <w:p w:rsidR="00836FCA" w:rsidRPr="00125EAC" w:rsidRDefault="00836FCA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- приняты меры по сокращению дефицита Территориальной программы государственных гарантий бесплатного оказания гражданам медицинской помощи на территории Забайкальского края. По сравнению с актуальной редакцией закона о бюджете на 2021 год расходы на реализацию территориальной программы в 2022 году увеличены на 340 255,3 тыс. рублей, или на 14,6%;</w:t>
      </w:r>
    </w:p>
    <w:p w:rsidR="00836FCA" w:rsidRPr="00125EAC" w:rsidRDefault="00836FCA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- предусмотрена индексация социальных выплат с 1 января 2021 года в размере 1,04 (в предыдущие годы индексация производилась с 1 июля);</w:t>
      </w:r>
    </w:p>
    <w:p w:rsidR="00836FCA" w:rsidRPr="00125EAC" w:rsidRDefault="00836FCA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- одновременно с проектом закона о бюджете края представлена расширенная информация о капитальных вложениях за счет средств бюджета Забайкальского края.</w:t>
      </w:r>
    </w:p>
    <w:p w:rsidR="00836FCA" w:rsidRPr="00125EAC" w:rsidRDefault="00836FCA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 xml:space="preserve">Проектом закона не учтены предложения </w:t>
      </w:r>
      <w:r w:rsidR="00AC1A69">
        <w:rPr>
          <w:rFonts w:ascii="Times New Roman" w:eastAsia="Calibri" w:hAnsi="Times New Roman" w:cs="Times New Roman"/>
          <w:sz w:val="26"/>
          <w:szCs w:val="26"/>
        </w:rPr>
        <w:t>КСП</w:t>
      </w:r>
      <w:r w:rsidRPr="00125EAC">
        <w:rPr>
          <w:rFonts w:ascii="Times New Roman" w:eastAsia="Calibri" w:hAnsi="Times New Roman" w:cs="Times New Roman"/>
          <w:sz w:val="26"/>
          <w:szCs w:val="26"/>
        </w:rPr>
        <w:t xml:space="preserve"> об увеличении объема бюджетных ассигнований, направляемых на обеспечение жилыми помещениями детей-сирот, и установлении дополнительных мер обеспечения жилищных прав детей-сирот с учетом федеральных рекомендаций и опыта субъектов РФ.</w:t>
      </w:r>
    </w:p>
    <w:p w:rsidR="00836FCA" w:rsidRPr="00125EAC" w:rsidRDefault="00836FCA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Предусмотренный проектом закона объем бюджетных ассигнований на предоставление жилых помещений детям-сиротам в 2022 году позволит обеспечить жильем 282 человека, или всего 4% от потребности. Расходы на эти цели по сравнению с 2021 годом практически не изменились.</w:t>
      </w:r>
    </w:p>
    <w:p w:rsidR="00836FCA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На осуществление бюджетных инвестиций в объекты капитального строительства законопроектом на 2022 год предусмотрено 4 547 620,60 тыс. рублей, или 5,0% от общего объема расходов, что ниже показателей сводной бюджетной росписи на 01.10.2021 на 2 820 122,26 тыс. рублей и на 2,17% от общего объема расходов (на 2023 год – 4 690 419,9 тыс. рублей, на 2024 год – 4 230 701,3 тыс. рублей).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 xml:space="preserve">По результатам экспертно-аналитического мероприятия </w:t>
      </w:r>
      <w:r w:rsidR="00F53F0E">
        <w:rPr>
          <w:rFonts w:ascii="Times New Roman" w:eastAsia="Calibri" w:hAnsi="Times New Roman" w:cs="Times New Roman"/>
          <w:sz w:val="26"/>
          <w:szCs w:val="26"/>
        </w:rPr>
        <w:t xml:space="preserve">КСП </w:t>
      </w:r>
      <w:r w:rsidRPr="00125EAC">
        <w:rPr>
          <w:rFonts w:ascii="Times New Roman" w:eastAsia="Calibri" w:hAnsi="Times New Roman" w:cs="Times New Roman"/>
          <w:sz w:val="26"/>
          <w:szCs w:val="26"/>
        </w:rPr>
        <w:t>даны следующие рекомендации:</w:t>
      </w:r>
    </w:p>
    <w:p w:rsidR="006B3EFF" w:rsidRPr="00125EAC" w:rsidRDefault="00AC1A69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6B3EFF" w:rsidRPr="00125EAC">
        <w:rPr>
          <w:rFonts w:ascii="Times New Roman" w:eastAsia="Calibri" w:hAnsi="Times New Roman" w:cs="Times New Roman"/>
          <w:sz w:val="26"/>
          <w:szCs w:val="26"/>
        </w:rPr>
        <w:t>Правительству Забайкальского края:</w:t>
      </w:r>
    </w:p>
    <w:p w:rsidR="006B3EFF" w:rsidRPr="006B3EFF" w:rsidRDefault="006B3EFF" w:rsidP="00F53F0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EFF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целях выполнения требований статьи 172 Бюджетного кодекса РФ инициировать внесение изменений в Закон Забайкальского края от 07.04.2009 №155-ЗЗК «О бюджетном процессе в Забайкальском крае», направленные на установление срока утверждения Правительством Забайкальского края основных направлений бюджетной и налоговой политики Забайкальского края, обеспечивающего использование данного документа при составлении проекта закона о бюджете края;</w:t>
      </w:r>
    </w:p>
    <w:p w:rsidR="006B3EFF" w:rsidRPr="006B3EFF" w:rsidRDefault="006B3EFF" w:rsidP="00F53F0E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E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подготовке проекта бюджета на очередной год и плановый период основываться на направлениях бюджетной и налоговой политики Забайкальского края;</w:t>
      </w:r>
    </w:p>
    <w:p w:rsidR="006B3EFF" w:rsidRPr="006B3EFF" w:rsidRDefault="006B3EFF" w:rsidP="00F53F0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E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привести положения постановления Правительства Забайкальского края от 17.11.2015 №555 «О Порядке составления проекта бюджета Забайкальского края и проекта бюджета Территориального фонда обязательного медицинского страхования Забайкальского края на очередной финансовый год и плановый период» в соответствие с  изменениями, внесенными в 2021 году в Закон Забайкальского края от 07.04.2009 №155-ЗЗК «О бюджетном процессе в Забайкальском крае» в части сроков выполнения мероприятий при составлении проектов бюджетов;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A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сократить до минимально необходимого перечень оснований для внесения изменений в сводную бюджетную роспись в целях недопущения необоснованного изменения целевого назначения средств, утвержденных законом о бюджете края;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Pr="00125E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целях выполнения требований статьи 37 «Принцип достоверности бюджета» Бюджетного кодекса РФ обеспечить достижение утвержденных в прогнозе социально-экономического развития Забайкальского края показателей, положенных в основу формирования проекта бюджета на 2022 год и плановый период 2023 и 2024 годов, с учетом складывающейся экономической ситуации осуществлять своевременную корректировку прогноза, и, соответственно, бюджетных проектировок по доходам и расходам бюджета края;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A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5E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привести в соответствие основные параметры краевого бюджета в проекте закона о бюджете на 2022 год и плановый период 2023 и 2024 годов данным проекта бюджетного прогноза Забайкальского края на долгосрочный период до 2030 года;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A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5E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подготовке проекта бюджета на очередной год и плановый период в полной мере учитывать требования бюджетного законодательства в части формирования доходов, предполагаемые изменения бюджетного и налогового законодательства, провести работу по улучшению качества пояснительной записки к законопроекту в части обоснований прогнозируемых поступлений, факторов, повлиявших на их объем и динамику;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A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5E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провести работу по повышению поступлений в бюджет края, в том числе за счет контрольной работы налоговых органов, исполнению в полном объеме главными администраторами доходов полномочий по своевременному и полному поступлению налоговых и неналоговых доходов, снижению сумм недоимки;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A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5E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обеспечивать об</w:t>
      </w:r>
      <w:r w:rsidR="00AC1A69">
        <w:rPr>
          <w:rFonts w:ascii="Times New Roman" w:eastAsia="Times New Roman" w:hAnsi="Times New Roman" w:cs="Times New Roman"/>
          <w:sz w:val="26"/>
          <w:szCs w:val="26"/>
          <w:lang w:eastAsia="ru-RU"/>
        </w:rPr>
        <w:t>ос</w:t>
      </w:r>
      <w:r w:rsidRPr="00125EA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нованность прогнозирования доходов от приватизации государственного имущества Забайкальского края на основании Прогнозного плана (программы) приватизации имущества, находящегося в государственной собственности Забайкальского края, в соответствии с установленным Правительством Забайкальского края порядком;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A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продолжить работу по разработке законопроекта, направленного на более справедливое налогообложение многокомпонентных комплексных руд с учетом содержания в них драгоценных металлов;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AC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целях обеспечения достоверности Реестра расходных обязательств: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AC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125E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главным распорядителям средств бюджета Забайкальского края осуществлять формирование и ведение реестров расходных обязательств ГРБС в соответствии с требованиями бюджетного законодательства РФ, а также методическими рекомендациями Министерства финансов Забайкальского края по составлению реестров ГРБС;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AC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125E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Министерству финансов Забайкальского края усилить контроль за содержанием информации, отраженной главными распорядителями средств бюджета Забайкальского края в реестрах расходных обязательств ГРБС; осуществлять формирование Реестра расходных обязательств Забайкальского края в соответствии с требованиями бюджетного законодательства РФ, а также Порядка ведения реестра расходных обязательств Забайкальского</w:t>
      </w:r>
      <w:r w:rsidR="00AC1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края, </w:t>
      </w:r>
      <w:r w:rsidRPr="00125EA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утвержденного постановлением Правительства Забайкальского края от 14.06.2016 №269;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A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предпринять меры, направленные на своевременное принятие нормативных правовых актов, необходимых для исполнения закона о бюджете Забайкальского края в 2022 году и в случае резервирования средств на недопущение их распределения в отсутствие порядка;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Pr="00125E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целях обеспечения реализации бюджетного процесса, ориентированного на результат, а также обеспечения высокой степени освоения бюджетных ассигнований соблюдать требования пункта 2 статьи 179 Бюджетного кодекса РФ о приведении государственных программ в соответствие с законом о бюджете не позднее 3 месяцев со дня его вступления в силу;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-</w:t>
      </w:r>
      <w:r w:rsidRPr="00125EAC">
        <w:rPr>
          <w:rFonts w:ascii="Times New Roman" w:eastAsia="Calibri" w:hAnsi="Times New Roman" w:cs="Times New Roman"/>
          <w:sz w:val="26"/>
          <w:szCs w:val="26"/>
        </w:rPr>
        <w:tab/>
        <w:t xml:space="preserve">ответственным исполнителям государственных программ учитывать замечания </w:t>
      </w:r>
      <w:r w:rsidR="00AC1A69">
        <w:rPr>
          <w:rFonts w:ascii="Times New Roman" w:eastAsia="Calibri" w:hAnsi="Times New Roman" w:cs="Times New Roman"/>
          <w:sz w:val="26"/>
          <w:szCs w:val="26"/>
        </w:rPr>
        <w:t>КСП</w:t>
      </w:r>
      <w:r w:rsidRPr="00125EAC">
        <w:rPr>
          <w:rFonts w:ascii="Times New Roman" w:eastAsia="Calibri" w:hAnsi="Times New Roman" w:cs="Times New Roman"/>
          <w:sz w:val="26"/>
          <w:szCs w:val="26"/>
        </w:rPr>
        <w:t>, указанные в заключениях финансово-экономической экспертизы проектов постановлений Правительства Забайкальского края о внесении изменений в государственные программы Забайкальского края;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-</w:t>
      </w:r>
      <w:r w:rsidRPr="00125EAC">
        <w:rPr>
          <w:rFonts w:ascii="Times New Roman" w:eastAsia="Calibri" w:hAnsi="Times New Roman" w:cs="Times New Roman"/>
          <w:sz w:val="26"/>
          <w:szCs w:val="26"/>
        </w:rPr>
        <w:tab/>
        <w:t>в целях достижения установленных национальных целей на долгосрочную перспективу актуализировать параметры действующих на территории Забайкальского края национальных (региональных) проектов и усилить контроль за их реализацией;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-</w:t>
      </w:r>
      <w:r w:rsidRPr="00125EAC">
        <w:rPr>
          <w:rFonts w:ascii="Times New Roman" w:eastAsia="Calibri" w:hAnsi="Times New Roman" w:cs="Times New Roman"/>
          <w:sz w:val="26"/>
          <w:szCs w:val="26"/>
        </w:rPr>
        <w:tab/>
        <w:t>в ходе исполнения бюджета в 2022-2024 годах обеспечить направление в приоритетном порядке образующихся дополнительных доходов краевого бюджета на реализацию установленных национальных целей;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- рассмотреть вопрос об увеличении объема бюджетных ассигнований, направляемых на обеспечение жилыми помещениями детей-сирот, и установлении дополнительных мер обеспечения жилищных прав детей-сирот с учетом федеральных рекомендаций и опыта субъектов РФ;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- обеспечить доведение к 2024 году минимальной доли расходов по разделу «Физическая культура и спорт» не менее чем до 2 процентов в общем объеме расходов бюджета края, обратив особое внимание на финансирование мероприятий в сфере массового спорта, в целях выполнения поручений Президента РФ по итогам заседания Совета при Президенте РФ по развитию физической культуры и спорта от 10.09.2021, а также достижения целей плана мероприятий «Пятилетия спорта» в Забайкальском крае;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- в целях обеспечения безопасности и качества автомобильных дорог принять меры по соблюдению норм статьи 179.4 Бюджетного кодекса РФ, восстановив дорожный фонд в очередном финансовом году за счет остатков бюджетных ассигнований дорожного фонда прошлых лет в полном объеме;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- в целях повышения прозрачности и предсказуемости при планировании межбюджетных трансфертов, обозначенных основными направлениями бюджетной и налоговой политики Забайкальского края, межбюджетные трансферты распределять на этапе формирования бюджета на основании методик и правил, установленных нормативными правовыми актами высшего исполнительного органа государственной власти субъекта РФ;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 xml:space="preserve">- в целях приведения в соответствие с требованиями пункта 5 статьи 140 Бюджетного кодекса РФ и постановления Правительства РФ от 19.12.2019 №1711 «Об общих требованиях к порядку формирования и предоставления единой субвенции местным бюджетам из бюджета субъекта Российской Федерации» определить вид субвенции (единая субвенция/самостоятельные субвенции) на администрирование государственных полномочий по расчету и предоставлению дотаций бюджетам поселений, а также по установлению нормативов формирования расходов на содержание органов местного самоуправления поселений (включая оплату труда); по сбору с поселений, входящих в состав муниципального района, и представлению квартальной отчетности по исполнению государственных полномочий по первичному воинскому </w:t>
      </w:r>
      <w:r w:rsidRPr="00125EAC">
        <w:rPr>
          <w:rFonts w:ascii="Times New Roman" w:eastAsia="Calibri" w:hAnsi="Times New Roman" w:cs="Times New Roman"/>
          <w:sz w:val="26"/>
          <w:szCs w:val="26"/>
        </w:rPr>
        <w:lastRenderedPageBreak/>
        <w:t>учету. Внести необходимые изменения в Закон Забайкальского края от 20.12.2011 №608-ЗЗК «О межбюджетных отношениях в Забайкальском крае»;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- принять меры, направленные на приведение методик расчета субвенций в соответствие с положениями действующего законодательства РФ;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 xml:space="preserve">- утвердить форму и содержание данных по Краевой инвестиционной адресной программе, представляемых в Законодательное Собрание Забайкальского края одновременно с проектом закона о бюджете на очередной финансовый год и плановый период, требования к составу представляемой информации, к содержанию обоснований необходимости включения объекта без наличия необходимой документации в проект КАИП и Перечень строек. Внести соответствующие изменения в постановление Правительства Забайкальского края от 17.11.2015 №555 «О Порядке составления проекта бюджета Забайкальского края и проекта бюджета Территориального фонда обязательного медицинского страхования Забайкальского края на очередной финансовый год и плановый период» и постановление Правительства Забайкальского края от 29.06.2010 №259 «Об утверждении Положения о порядке формирования и реализации краевой адресной инвестиционной программы», согласовав с </w:t>
      </w:r>
      <w:r w:rsidR="00F53F0E">
        <w:rPr>
          <w:rFonts w:ascii="Times New Roman" w:eastAsia="Calibri" w:hAnsi="Times New Roman" w:cs="Times New Roman"/>
          <w:sz w:val="26"/>
          <w:szCs w:val="26"/>
        </w:rPr>
        <w:t>КСП</w:t>
      </w:r>
      <w:r w:rsidRPr="00125EA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- устранить ко второму чтению проекта закона о бюджете края замечания и недостатки формирования и распределения капитальных вложений, указанные в разделе «Бюджетные инвестиции заключения;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- усилить контроль за обеспечением завершения строительства и ввода в эксплуатацию объектов капитального строительства, не введенных в эксплуатацию своевременно;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- усилить контроль за своевременным утверждением и корректировкой проектной и сметной документации по объектам капитального строительства, выполнением подрядными организациями договорных обязательств, а также за улучшением качества планирования и реализации мероприятий в целях результативного использования бюджетных средств в течение года;</w:t>
      </w:r>
    </w:p>
    <w:p w:rsidR="006B3EFF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 xml:space="preserve">- в целях снижения рисков увеличения объемов и количества объектов незавершенного строительства предусмотреть бюджетные ассигнования на вовлечение в хозяйственный оборот объектов незавершённого строительства (либо на иные мероприятия в отношении указанных объектов) при обязательном проведении их инвентаризации и принятии соответствующих решений о </w:t>
      </w:r>
      <w:r w:rsidR="00C057C7">
        <w:rPr>
          <w:rFonts w:ascii="Times New Roman" w:eastAsia="Calibri" w:hAnsi="Times New Roman" w:cs="Times New Roman"/>
          <w:sz w:val="26"/>
          <w:szCs w:val="26"/>
        </w:rPr>
        <w:t>целевом использовании объектов.</w:t>
      </w:r>
    </w:p>
    <w:p w:rsidR="006B3EFF" w:rsidRPr="00125EAC" w:rsidRDefault="00C057C7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6B3EFF" w:rsidRPr="00125EAC">
        <w:rPr>
          <w:rFonts w:ascii="Times New Roman" w:eastAsia="Calibri" w:hAnsi="Times New Roman" w:cs="Times New Roman"/>
          <w:sz w:val="26"/>
          <w:szCs w:val="26"/>
        </w:rPr>
        <w:t>Законодательном</w:t>
      </w:r>
      <w:r>
        <w:rPr>
          <w:rFonts w:ascii="Times New Roman" w:eastAsia="Calibri" w:hAnsi="Times New Roman" w:cs="Times New Roman"/>
          <w:sz w:val="26"/>
          <w:szCs w:val="26"/>
        </w:rPr>
        <w:t>у Собранию Забайкальского края:</w:t>
      </w:r>
    </w:p>
    <w:p w:rsidR="0002587B" w:rsidRPr="00125EAC" w:rsidRDefault="006B3EFF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 xml:space="preserve">- при рассмотрении проекта закона Забайкальского края «О бюджете Забайкальского края на 2022 год и плановый период 2023 и 2024 годов» учесть результаты экспертизы, проведенной </w:t>
      </w:r>
      <w:r w:rsidR="00C057C7">
        <w:rPr>
          <w:rFonts w:ascii="Times New Roman" w:eastAsia="Calibri" w:hAnsi="Times New Roman" w:cs="Times New Roman"/>
          <w:sz w:val="26"/>
          <w:szCs w:val="26"/>
        </w:rPr>
        <w:t>КСП</w:t>
      </w:r>
      <w:r w:rsidRPr="00125EAC">
        <w:rPr>
          <w:rFonts w:ascii="Times New Roman" w:eastAsia="Calibri" w:hAnsi="Times New Roman" w:cs="Times New Roman"/>
          <w:sz w:val="26"/>
          <w:szCs w:val="26"/>
        </w:rPr>
        <w:t>, изложенные в заключении, в том числе при подготовке таблицы поправок ко второму чтению совместно с Правительством Забайкальского края.</w:t>
      </w:r>
    </w:p>
    <w:p w:rsidR="0002587B" w:rsidRPr="00125EAC" w:rsidRDefault="0002587B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материалов Коллегией КСП принято решение направить заключение в Законодательное Собрание, Правительство Забайкальского края, Общественную палату Забайкальского края, </w:t>
      </w:r>
      <w:r w:rsidR="006B3EFF" w:rsidRPr="00125EAC">
        <w:rPr>
          <w:rFonts w:ascii="Times New Roman" w:eastAsia="Calibri" w:hAnsi="Times New Roman" w:cs="Times New Roman"/>
          <w:sz w:val="26"/>
          <w:szCs w:val="26"/>
        </w:rPr>
        <w:t>Прокуратуру Забайкальского края</w:t>
      </w:r>
      <w:r w:rsidRPr="00125EA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6B143D" w:rsidRPr="00125EAC" w:rsidRDefault="006B143D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B143D" w:rsidRPr="00125EAC" w:rsidRDefault="006B143D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i/>
          <w:sz w:val="26"/>
          <w:szCs w:val="26"/>
        </w:rPr>
        <w:t>По второму вопросу</w:t>
      </w:r>
      <w:r w:rsidRPr="00125EAC">
        <w:rPr>
          <w:rFonts w:ascii="Times New Roman" w:eastAsia="Calibri" w:hAnsi="Times New Roman" w:cs="Times New Roman"/>
          <w:sz w:val="26"/>
          <w:szCs w:val="26"/>
        </w:rPr>
        <w:t xml:space="preserve"> повестки заседания Коллегии было рассмотрено заключение на проект закона Забайкальского края «О бюджете Территориального фонда </w:t>
      </w:r>
      <w:r w:rsidRPr="00125EA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обязательного медицинского страхования Забайкальского края на 2022 год и плановый период 2023 и 2024 годов». </w:t>
      </w:r>
    </w:p>
    <w:p w:rsidR="00713519" w:rsidRPr="00125EAC" w:rsidRDefault="00713519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В соответствии с требованиями статьи 39.1 Закона Забайкальского края от 07.04.2009 №155-ЗЗК «О бюджетном процессе в Забайкальском крае» Проект закона одобрен распоряжением Правительства Забайкальского края от 22.10.2021 № 346-р.</w:t>
      </w:r>
    </w:p>
    <w:p w:rsidR="005B178D" w:rsidRPr="00125EAC" w:rsidRDefault="00783C60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По результатам экспертизы проекта закона Забайкальского края установлено следующее:</w:t>
      </w:r>
    </w:p>
    <w:p w:rsidR="00783C60" w:rsidRPr="00125EAC" w:rsidRDefault="00783C60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1. Доходная часть бюджета Территориального фонда обязательного медицинского страхования Забайкальского края (далее – бюджет ТФОМС Забайкальского края) на 2022 год предусматривает поступления в общем объеме 20 656 758,5 тыс. рублей, с увеличением к уровню 2021 года на 1 325 048,3тыс. рублей, или на 6,9 %, в том числе</w:t>
      </w:r>
      <w:r w:rsidR="001E671B" w:rsidRPr="00125EA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1E671B" w:rsidRPr="00125EAC" w:rsidRDefault="001E671B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В составе планируемых на 2022 год доходов бюджета ТФОМС Забайкальского края 98,2% занимает субвенция из Федерального фонда обязательного медицинского страхования на осуществление переданных полномочий в сфере обязательного медицинского страхования (20 293 958,5 тыс. рублей).</w:t>
      </w:r>
    </w:p>
    <w:p w:rsidR="00783C60" w:rsidRPr="00125EAC" w:rsidRDefault="00783C60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Прогнозируемые в плановом периоде 2023 и 2024 годах доходы составляют 20 508 958,5 тыс. рублей ежегодно.</w:t>
      </w:r>
    </w:p>
    <w:p w:rsidR="00783C60" w:rsidRPr="00125EAC" w:rsidRDefault="00783C60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2. Расходная часть бюджета ТФОМС на 2022 год предусматривает расходы в общем объеме 20 656 758,5 тыс. рублей.</w:t>
      </w:r>
    </w:p>
    <w:p w:rsidR="00713519" w:rsidRPr="00125EAC" w:rsidRDefault="00125EAC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 xml:space="preserve">По результатам экспертно-аналитического мероприятия КСП предложила Законодательному Собранию Забайкальского края рассмотреть проект закона Забайкальского края «О бюджете Территориального фонда обязательного медицинского страхования Забайкальского края на 2022 год и плановый период 2023 и 2024 годов» в установленном порядке с учетом заключения. </w:t>
      </w:r>
    </w:p>
    <w:p w:rsidR="005B178D" w:rsidRPr="00125EAC" w:rsidRDefault="005B178D" w:rsidP="00F53F0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EAC">
        <w:rPr>
          <w:rFonts w:ascii="Times New Roman" w:eastAsia="Calibri" w:hAnsi="Times New Roman" w:cs="Times New Roman"/>
          <w:sz w:val="26"/>
          <w:szCs w:val="26"/>
        </w:rPr>
        <w:t>По результатам рассмотрения материалов Коллегией КСП принято решение направить заключение в Законодательное Собрание, Правительство Забайкальского края, Общественную палату Забайкальского края, Прокуратуру Забайкальского края, в Территориальный фонд обязательного медицинского страхования Забайкальского края.</w:t>
      </w:r>
    </w:p>
    <w:sectPr w:rsidR="005B178D" w:rsidRPr="00125EAC" w:rsidSect="00261B12">
      <w:headerReference w:type="default" r:id="rId7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330" w:rsidRDefault="00D17330">
      <w:pPr>
        <w:spacing w:after="0" w:line="240" w:lineRule="auto"/>
      </w:pPr>
      <w:r>
        <w:separator/>
      </w:r>
    </w:p>
  </w:endnote>
  <w:endnote w:type="continuationSeparator" w:id="0">
    <w:p w:rsidR="00D17330" w:rsidRDefault="00D1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330" w:rsidRDefault="00D17330">
      <w:pPr>
        <w:spacing w:after="0" w:line="240" w:lineRule="auto"/>
      </w:pPr>
      <w:r>
        <w:separator/>
      </w:r>
    </w:p>
  </w:footnote>
  <w:footnote w:type="continuationSeparator" w:id="0">
    <w:p w:rsidR="00D17330" w:rsidRDefault="00D1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5B178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D62">
          <w:rPr>
            <w:noProof/>
          </w:rPr>
          <w:t>6</w:t>
        </w:r>
        <w:r>
          <w:fldChar w:fldCharType="end"/>
        </w:r>
      </w:p>
    </w:sdtContent>
  </w:sdt>
  <w:p w:rsidR="00E07E3B" w:rsidRDefault="00D173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56FC9"/>
    <w:multiLevelType w:val="hybridMultilevel"/>
    <w:tmpl w:val="EAC07604"/>
    <w:lvl w:ilvl="0" w:tplc="60E6D0EA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85"/>
    <w:rsid w:val="0002587B"/>
    <w:rsid w:val="000C0A49"/>
    <w:rsid w:val="00125EAC"/>
    <w:rsid w:val="001E671B"/>
    <w:rsid w:val="0021501E"/>
    <w:rsid w:val="005B178D"/>
    <w:rsid w:val="006B143D"/>
    <w:rsid w:val="006B3EFF"/>
    <w:rsid w:val="00713519"/>
    <w:rsid w:val="00783C60"/>
    <w:rsid w:val="00836FCA"/>
    <w:rsid w:val="00870D62"/>
    <w:rsid w:val="009E5F77"/>
    <w:rsid w:val="00AC1A69"/>
    <w:rsid w:val="00C057C7"/>
    <w:rsid w:val="00CB370D"/>
    <w:rsid w:val="00D17330"/>
    <w:rsid w:val="00D91C75"/>
    <w:rsid w:val="00EF4385"/>
    <w:rsid w:val="00F5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BA59"/>
  <w15:chartTrackingRefBased/>
  <w15:docId w15:val="{5AB0E99A-E87F-4BE8-A6B7-167ACDAA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78D"/>
  </w:style>
  <w:style w:type="paragraph" w:styleId="a5">
    <w:name w:val="Balloon Text"/>
    <w:basedOn w:val="a"/>
    <w:link w:val="a6"/>
    <w:uiPriority w:val="99"/>
    <w:semiHidden/>
    <w:unhideWhenUsed/>
    <w:rsid w:val="005B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1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Сергеевна Ляпина</dc:creator>
  <cp:keywords/>
  <dc:description/>
  <cp:lastModifiedBy>Дарья Сергеевна Ляпина</cp:lastModifiedBy>
  <cp:revision>13</cp:revision>
  <cp:lastPrinted>2021-11-09T00:56:00Z</cp:lastPrinted>
  <dcterms:created xsi:type="dcterms:W3CDTF">2020-12-21T06:37:00Z</dcterms:created>
  <dcterms:modified xsi:type="dcterms:W3CDTF">2021-11-09T08:06:00Z</dcterms:modified>
</cp:coreProperties>
</file>