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C5" w:rsidRPr="004A03C9" w:rsidRDefault="00F57DC5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4A03C9" w:rsidRDefault="00384FF6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6818B1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D7F6C">
        <w:rPr>
          <w:rFonts w:ascii="Times New Roman" w:eastAsia="Calibri" w:hAnsi="Times New Roman" w:cs="Times New Roman"/>
          <w:b/>
          <w:sz w:val="26"/>
          <w:szCs w:val="26"/>
        </w:rPr>
        <w:t>августа</w:t>
      </w:r>
      <w:r w:rsidR="005B0B40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4A03C9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01CBC" w:rsidRPr="004A03C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85E1D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6106DB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D6C01" w:rsidRDefault="009D7F6C" w:rsidP="005D6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6106DB" w:rsidRPr="009D7F6C">
        <w:rPr>
          <w:rFonts w:ascii="Times New Roman" w:eastAsia="Calibri" w:hAnsi="Times New Roman" w:cs="Times New Roman"/>
          <w:sz w:val="26"/>
          <w:szCs w:val="26"/>
        </w:rPr>
        <w:t xml:space="preserve">заседания Коллегии были </w:t>
      </w:r>
      <w:r w:rsidR="009E2B25" w:rsidRPr="009D7F6C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EC6B67" w:rsidRPr="009D7F6C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384FF6" w:rsidRPr="009D7F6C">
        <w:rPr>
          <w:rFonts w:ascii="Times New Roman" w:eastAsia="Calibri" w:hAnsi="Times New Roman" w:cs="Times New Roman"/>
          <w:sz w:val="26"/>
          <w:szCs w:val="26"/>
        </w:rPr>
        <w:t>ого</w:t>
      </w:r>
      <w:r w:rsidR="006C027E" w:rsidRPr="009D7F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9D7F6C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384FF6" w:rsidRPr="009D7F6C">
        <w:rPr>
          <w:rFonts w:ascii="Times New Roman" w:eastAsia="Calibri" w:hAnsi="Times New Roman" w:cs="Times New Roman"/>
          <w:sz w:val="26"/>
          <w:szCs w:val="26"/>
        </w:rPr>
        <w:t>я</w:t>
      </w:r>
      <w:r w:rsidR="005D6C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7F6C">
        <w:rPr>
          <w:rFonts w:ascii="Times New Roman" w:eastAsia="Calibri" w:hAnsi="Times New Roman" w:cs="Times New Roman"/>
          <w:b/>
          <w:bCs/>
          <w:sz w:val="26"/>
          <w:szCs w:val="26"/>
        </w:rPr>
        <w:t>«Проверка законности, эффективности и целесообразности использования бюджетных средств, выделенных на реализацию регионального проекта "Создание системы поддержки фермеров и развитие сельской кооперации"»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1708E9" w:rsidRPr="001708E9" w:rsidRDefault="006B10F8" w:rsidP="005D6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08E9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1708E9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1708E9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1708E9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1708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1708E9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1708E9">
        <w:rPr>
          <w:rFonts w:ascii="Times New Roman" w:eastAsia="Calibri" w:hAnsi="Times New Roman" w:cs="Times New Roman"/>
          <w:sz w:val="26"/>
          <w:szCs w:val="26"/>
        </w:rPr>
        <w:t>1.</w:t>
      </w:r>
      <w:r w:rsidR="009D7F6C">
        <w:rPr>
          <w:rFonts w:ascii="Times New Roman" w:eastAsia="Calibri" w:hAnsi="Times New Roman" w:cs="Times New Roman"/>
          <w:sz w:val="26"/>
          <w:szCs w:val="26"/>
        </w:rPr>
        <w:t>3</w:t>
      </w:r>
      <w:r w:rsidR="00E04EEC" w:rsidRPr="001708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1708E9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1708E9">
        <w:rPr>
          <w:rFonts w:ascii="Times New Roman" w:eastAsia="Calibri" w:hAnsi="Times New Roman" w:cs="Times New Roman"/>
          <w:sz w:val="26"/>
          <w:szCs w:val="26"/>
        </w:rPr>
        <w:t>2</w:t>
      </w:r>
      <w:r w:rsidR="001708E9" w:rsidRPr="001708E9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4CB5" w:rsidRPr="001708E9">
        <w:rPr>
          <w:rFonts w:ascii="Times New Roman" w:eastAsia="Calibri" w:hAnsi="Times New Roman" w:cs="Times New Roman"/>
          <w:sz w:val="26"/>
          <w:szCs w:val="26"/>
        </w:rPr>
        <w:t>год</w:t>
      </w:r>
      <w:r w:rsidR="009D7F6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1708E9" w:rsidRPr="001708E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D7F6C" w:rsidRPr="009D7F6C">
        <w:rPr>
          <w:rFonts w:ascii="Times New Roman" w:eastAsia="Calibri" w:hAnsi="Times New Roman" w:cs="Times New Roman"/>
          <w:bCs/>
          <w:sz w:val="26"/>
          <w:szCs w:val="26"/>
        </w:rPr>
        <w:t>Министерств</w:t>
      </w:r>
      <w:r w:rsidR="009D7F6C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9D7F6C" w:rsidRPr="009D7F6C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хозяйства Забайкальского края</w:t>
      </w:r>
      <w:r w:rsidR="009D7F6C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1708E9" w:rsidRPr="001708E9" w:rsidRDefault="00B23341" w:rsidP="00F43165">
      <w:pPr>
        <w:pStyle w:val="a5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 результатам </w:t>
      </w:r>
      <w:r w:rsidR="009D7F6C">
        <w:rPr>
          <w:rFonts w:ascii="Times New Roman" w:eastAsia="Calibri" w:hAnsi="Times New Roman" w:cs="Times New Roman"/>
          <w:bCs/>
          <w:sz w:val="26"/>
          <w:szCs w:val="26"/>
        </w:rPr>
        <w:t xml:space="preserve">проведенной </w:t>
      </w: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1708E9" w:rsidRPr="001708E9">
        <w:rPr>
          <w:rFonts w:ascii="Times New Roman" w:eastAsia="Calibri" w:hAnsi="Times New Roman" w:cs="Times New Roman"/>
          <w:bCs/>
          <w:sz w:val="26"/>
          <w:szCs w:val="26"/>
        </w:rPr>
        <w:t>ровер</w:t>
      </w:r>
      <w:r w:rsidR="009D7F6C">
        <w:rPr>
          <w:rFonts w:ascii="Times New Roman" w:eastAsia="Calibri" w:hAnsi="Times New Roman" w:cs="Times New Roman"/>
          <w:bCs/>
          <w:sz w:val="26"/>
          <w:szCs w:val="26"/>
        </w:rPr>
        <w:t>ки</w:t>
      </w:r>
      <w:r w:rsidR="001708E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23341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сделаны следующие выводы</w:t>
      </w:r>
      <w:r w:rsidR="001708E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1708E9" w:rsidRPr="001708E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Pr="009D7F6C">
        <w:rPr>
          <w:rFonts w:ascii="Times New Roman" w:eastAsia="Calibri" w:hAnsi="Times New Roman" w:cs="Times New Roman"/>
          <w:bCs/>
          <w:sz w:val="26"/>
          <w:szCs w:val="26"/>
        </w:rPr>
        <w:tab/>
        <w:t>Всего за анализируемый период 2019-2021 годы на развитие и поддержку К(Ф)Х и СПК предусмотрено законами Забайкальского края о бюджете 688 810,9 тыс. рублей, в том числе в рамках реализации регионального проекта на поддержку фермеров и сельскохозяйственной кооперации 186 594,2 тыс. рублей (27,1 %): 2019 год - 52 104,2 тыс. руб</w:t>
      </w:r>
      <w:r>
        <w:rPr>
          <w:rFonts w:ascii="Times New Roman" w:eastAsia="Calibri" w:hAnsi="Times New Roman" w:cs="Times New Roman"/>
          <w:bCs/>
          <w:sz w:val="26"/>
          <w:szCs w:val="26"/>
        </w:rPr>
        <w:t>лей</w:t>
      </w:r>
      <w:r w:rsidRPr="009D7F6C">
        <w:rPr>
          <w:rFonts w:ascii="Times New Roman" w:eastAsia="Calibri" w:hAnsi="Times New Roman" w:cs="Times New Roman"/>
          <w:bCs/>
          <w:sz w:val="26"/>
          <w:szCs w:val="26"/>
        </w:rPr>
        <w:t>, 2020 год - 47 745,2 тыс. руб</w:t>
      </w:r>
      <w:r>
        <w:rPr>
          <w:rFonts w:ascii="Times New Roman" w:eastAsia="Calibri" w:hAnsi="Times New Roman" w:cs="Times New Roman"/>
          <w:bCs/>
          <w:sz w:val="26"/>
          <w:szCs w:val="26"/>
        </w:rPr>
        <w:t>лей</w:t>
      </w:r>
      <w:r w:rsidRPr="009D7F6C">
        <w:rPr>
          <w:rFonts w:ascii="Times New Roman" w:eastAsia="Calibri" w:hAnsi="Times New Roman" w:cs="Times New Roman"/>
          <w:bCs/>
          <w:sz w:val="26"/>
          <w:szCs w:val="26"/>
        </w:rPr>
        <w:t>, 2021 год - 86 744,8 тыс. руб</w:t>
      </w:r>
      <w:r>
        <w:rPr>
          <w:rFonts w:ascii="Times New Roman" w:eastAsia="Calibri" w:hAnsi="Times New Roman" w:cs="Times New Roman"/>
          <w:bCs/>
          <w:sz w:val="26"/>
          <w:szCs w:val="26"/>
        </w:rPr>
        <w:t>лей</w:t>
      </w:r>
      <w:r w:rsidRPr="009D7F6C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В период 2019-2020 годов исполнение бюджетных назначений составило 100%.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D7F6C">
        <w:rPr>
          <w:rFonts w:ascii="Times New Roman" w:eastAsia="Calibri" w:hAnsi="Times New Roman" w:cs="Times New Roman"/>
          <w:bCs/>
          <w:sz w:val="26"/>
          <w:szCs w:val="26"/>
        </w:rPr>
        <w:t>По состоянию на 01.06.2021 исполнение составило 5 731,8 тыс. руб</w:t>
      </w:r>
      <w:r>
        <w:rPr>
          <w:rFonts w:ascii="Times New Roman" w:eastAsia="Calibri" w:hAnsi="Times New Roman" w:cs="Times New Roman"/>
          <w:bCs/>
          <w:sz w:val="26"/>
          <w:szCs w:val="26"/>
        </w:rPr>
        <w:t>лей</w:t>
      </w:r>
      <w:r w:rsidRPr="009D7F6C">
        <w:rPr>
          <w:rFonts w:ascii="Times New Roman" w:eastAsia="Calibri" w:hAnsi="Times New Roman" w:cs="Times New Roman"/>
          <w:bCs/>
          <w:sz w:val="26"/>
          <w:szCs w:val="26"/>
        </w:rPr>
        <w:t xml:space="preserve"> (6,6%).  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 xml:space="preserve"> Все планируемые показатели и результаты достигнуты с перевыполнением, контрольные точки соблюдены. Вместе с тем, проверкой установлены расхождения отчетных и статистических данных. Что не позволяет однозначно утверждать о подлинности представленных Министерством значениях показателей.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Оказываемые меры государственной поддержки позволяют обеспечить сохранение производства продукции сельского хозяйства в Забайкальском крае.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2. Выявлены недостатки проектной деятельности: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 xml:space="preserve">2.1. Порядок утверждения паспортов региональных проектов, действующий в Забайкальском крае, не согласован с федеральным законодательством. 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2.2. Министерством не соблюдены требования Соглашений о реализации региональных проектов о соответствии паспортов федерального, регионального проектов и госпрограммы.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2.3. Методика расчета показателей не представлена в региональном проекте, что приводит к некорректному отражению данных при предоставлении отчетности.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2.4.</w:t>
      </w:r>
      <w:r w:rsidRPr="009D7F6C">
        <w:rPr>
          <w:rFonts w:ascii="Times New Roman" w:eastAsia="Calibri" w:hAnsi="Times New Roman" w:cs="Times New Roman"/>
          <w:bCs/>
          <w:sz w:val="26"/>
          <w:szCs w:val="26"/>
        </w:rPr>
        <w:tab/>
        <w:t>При осуществлении трансформации регионального проекта в региональный проект «Акселерация»: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- в госпрограмме не обеспечена открытость (прозрачность) целевого планирования и направления бюджетных средств;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- цели и показатели в их прежнем изложении удалены из паспорта регионального проекта «Акселерация», что обрывает преемственность в достижении целей и «размывает» ответственность (системный недостаток федерального уровня).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 xml:space="preserve">3. Министерством не исполнены обязательства по созданию полноценной инфраструктуры и системы поддержки фермеров и сельхозкооперации - Центр компетенций в сфере сельскохозяйственной кооперации и поддержки фермеров не функционирует.  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4. При оказании государственной поддержки Министерством: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- нарушался порядок предоставления государственной поддержки в части сроков заключения соглашений о предоставлении поддержки, соблюдения требований по объему продукции, закупленной у одного члена СПК, и предъявлению своевременных требований по возврату средств субсидии (п.2.19 Порядка 165; абз. 4 пп.3 п.18 раздела 3 Правил №216, ч.3 п.10 Порядка №71, 30 Правил №216). Всего выявлено 32 нарушения на сумму 614,8 тыс. рублей;</w:t>
      </w:r>
    </w:p>
    <w:p w:rsidR="009D7F6C" w:rsidRP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 xml:space="preserve">- в Минсельхоз России предоставлены недостоверные сведения в рамках отчетности о финансово-экономическом состоянии получателей средств с приложением перечня </w:t>
      </w:r>
      <w:r w:rsidRPr="009D7F6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получателей средств. В период проведения контрольного мероприятия замечания устранены Министерством;</w:t>
      </w:r>
    </w:p>
    <w:p w:rsid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7F6C">
        <w:rPr>
          <w:rFonts w:ascii="Times New Roman" w:eastAsia="Calibri" w:hAnsi="Times New Roman" w:cs="Times New Roman"/>
          <w:bCs/>
          <w:sz w:val="26"/>
          <w:szCs w:val="26"/>
        </w:rPr>
        <w:t>- проводится недостаточная разъяснительная, методологическая работа с потенциальными грантополучателями и грантополучателями.</w:t>
      </w:r>
    </w:p>
    <w:p w:rsidR="009D7F6C" w:rsidRDefault="009D7F6C" w:rsidP="009D7F6C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615B" w:rsidRDefault="00B70CF6" w:rsidP="009D7F6C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4A03C9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4A03C9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4A03C9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4A03C9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753AF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D7F6C" w:rsidRPr="009D7F6C" w:rsidRDefault="005D6C01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1. </w:t>
      </w:r>
      <w:r w:rsidR="009D7F6C"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Направить отчет по результатам контрольного мероприятия в:</w:t>
      </w:r>
    </w:p>
    <w:p w:rsidR="009D7F6C" w:rsidRPr="009D7F6C" w:rsidRDefault="009D7F6C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Законодательное Собрание Забайкальского края и Губернатору Забайкальского края для рассмотрения;</w:t>
      </w:r>
    </w:p>
    <w:p w:rsidR="009D7F6C" w:rsidRPr="009D7F6C" w:rsidRDefault="009D7F6C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в Министерство сельского хозяйства Забайкальского края и рекомендовать рассмотреть следующие вопросы об:</w:t>
      </w:r>
    </w:p>
    <w:p w:rsidR="009D7F6C" w:rsidRPr="009D7F6C" w:rsidRDefault="009D7F6C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а) усилении разъяснительной методологической работы со стороны Министерства с потенциальными грантополучателями и грантополучателями;</w:t>
      </w:r>
    </w:p>
    <w:p w:rsidR="009D7F6C" w:rsidRPr="009D7F6C" w:rsidRDefault="009D7F6C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б) инициировании (обращении) в Министерство сельского хозяйства Российской Федерации увеличения бюджетных ассигнований на оказание государственной поддержки в рамках гранта «Агростартап» в связи с высокой востребованностью и низким охватом получателей поддержки, а также необходимости расширения Перечней имущества, приобретаемого с использование бюджетных средств (последующим возмещением затрат за счет бюджетных средств);</w:t>
      </w:r>
    </w:p>
    <w:p w:rsidR="009D7F6C" w:rsidRPr="009D7F6C" w:rsidRDefault="009D7F6C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в) указании методик расчета показателей в паспорте регионального проекта;</w:t>
      </w:r>
    </w:p>
    <w:p w:rsidR="009D7F6C" w:rsidRPr="009D7F6C" w:rsidRDefault="009D7F6C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г) обеспечении в госпрограмме детализации проводимых мероприятий по направлениям государственной поддержки, а также приведении показателей и их значений в соответствие с паспортами федерального и регионального проектов;</w:t>
      </w:r>
    </w:p>
    <w:p w:rsidR="009D7F6C" w:rsidRPr="009D7F6C" w:rsidRDefault="009D7F6C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д) обеспечении функционирования Центра компетенций в сфере сельскохозяйственной кооперации и поддержки фермеров;</w:t>
      </w:r>
    </w:p>
    <w:p w:rsidR="009D7F6C" w:rsidRPr="009D7F6C" w:rsidRDefault="009D7F6C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е) осуществлении Министерством обязательных выездных проверок получателей государственной поддержки.</w:t>
      </w:r>
    </w:p>
    <w:p w:rsidR="009D7F6C" w:rsidRPr="009D7F6C" w:rsidRDefault="009D7F6C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Доклад в Контрольно-счетную палату Забайкальского края в срок до 01.12.2021.</w:t>
      </w:r>
    </w:p>
    <w:p w:rsidR="009D7F6C" w:rsidRPr="009D7F6C" w:rsidRDefault="005D6C01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</w:t>
      </w:r>
      <w:r w:rsidR="009D7F6C"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 Внести представление о принятии мер по устранению и (или) недопущению впредь выявленных нарушений и недостатков в Министерство сельского хозяйства Забайкальского края.</w:t>
      </w:r>
    </w:p>
    <w:p w:rsidR="009D7F6C" w:rsidRPr="009D7F6C" w:rsidRDefault="005D6C01" w:rsidP="009D7F6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</w:t>
      </w:r>
      <w:r w:rsidR="009D7F6C" w:rsidRPr="009D7F6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 Направить информационное письмо в Управление проектной деятельности Администрации Губернатора Забайкальского края (проектный офис Забайкальского края).</w:t>
      </w:r>
    </w:p>
    <w:p w:rsidR="00F43165" w:rsidRPr="00F43165" w:rsidRDefault="00F43165" w:rsidP="00F770B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BD2C92" w:rsidRPr="004A03C9" w:rsidRDefault="00BD2C92" w:rsidP="004A03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BD2C92" w:rsidRPr="004A03C9" w:rsidSect="00490F5E"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6E" w:rsidRDefault="00D2366E">
      <w:pPr>
        <w:spacing w:after="0" w:line="240" w:lineRule="auto"/>
      </w:pPr>
      <w:r>
        <w:separator/>
      </w:r>
    </w:p>
  </w:endnote>
  <w:endnote w:type="continuationSeparator" w:id="0">
    <w:p w:rsidR="00D2366E" w:rsidRDefault="00D2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6E" w:rsidRDefault="00D2366E">
      <w:pPr>
        <w:spacing w:after="0" w:line="240" w:lineRule="auto"/>
      </w:pPr>
      <w:r>
        <w:separator/>
      </w:r>
    </w:p>
  </w:footnote>
  <w:footnote w:type="continuationSeparator" w:id="0">
    <w:p w:rsidR="00D2366E" w:rsidRDefault="00D2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7C7B3E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683466"/>
    <w:multiLevelType w:val="hybridMultilevel"/>
    <w:tmpl w:val="614AADCA"/>
    <w:lvl w:ilvl="0" w:tplc="9D6A6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2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9"/>
  </w:num>
  <w:num w:numId="5">
    <w:abstractNumId w:val="4"/>
  </w:num>
  <w:num w:numId="6">
    <w:abstractNumId w:val="27"/>
  </w:num>
  <w:num w:numId="7">
    <w:abstractNumId w:val="2"/>
  </w:num>
  <w:num w:numId="8">
    <w:abstractNumId w:val="35"/>
  </w:num>
  <w:num w:numId="9">
    <w:abstractNumId w:val="13"/>
  </w:num>
  <w:num w:numId="10">
    <w:abstractNumId w:val="33"/>
  </w:num>
  <w:num w:numId="11">
    <w:abstractNumId w:val="30"/>
  </w:num>
  <w:num w:numId="12">
    <w:abstractNumId w:val="9"/>
  </w:num>
  <w:num w:numId="13">
    <w:abstractNumId w:val="3"/>
  </w:num>
  <w:num w:numId="14">
    <w:abstractNumId w:val="19"/>
  </w:num>
  <w:num w:numId="15">
    <w:abstractNumId w:val="20"/>
  </w:num>
  <w:num w:numId="16">
    <w:abstractNumId w:val="5"/>
  </w:num>
  <w:num w:numId="17">
    <w:abstractNumId w:val="38"/>
  </w:num>
  <w:num w:numId="18">
    <w:abstractNumId w:val="11"/>
  </w:num>
  <w:num w:numId="19">
    <w:abstractNumId w:val="8"/>
  </w:num>
  <w:num w:numId="20">
    <w:abstractNumId w:val="46"/>
  </w:num>
  <w:num w:numId="21">
    <w:abstractNumId w:val="24"/>
  </w:num>
  <w:num w:numId="22">
    <w:abstractNumId w:val="39"/>
  </w:num>
  <w:num w:numId="23">
    <w:abstractNumId w:val="34"/>
  </w:num>
  <w:num w:numId="24">
    <w:abstractNumId w:val="42"/>
  </w:num>
  <w:num w:numId="25">
    <w:abstractNumId w:val="44"/>
  </w:num>
  <w:num w:numId="26">
    <w:abstractNumId w:val="0"/>
  </w:num>
  <w:num w:numId="27">
    <w:abstractNumId w:val="10"/>
  </w:num>
  <w:num w:numId="28">
    <w:abstractNumId w:val="32"/>
  </w:num>
  <w:num w:numId="29">
    <w:abstractNumId w:val="15"/>
  </w:num>
  <w:num w:numId="30">
    <w:abstractNumId w:val="1"/>
  </w:num>
  <w:num w:numId="31">
    <w:abstractNumId w:val="16"/>
  </w:num>
  <w:num w:numId="32">
    <w:abstractNumId w:val="17"/>
  </w:num>
  <w:num w:numId="33">
    <w:abstractNumId w:val="31"/>
  </w:num>
  <w:num w:numId="34">
    <w:abstractNumId w:val="26"/>
  </w:num>
  <w:num w:numId="35">
    <w:abstractNumId w:val="25"/>
  </w:num>
  <w:num w:numId="36">
    <w:abstractNumId w:val="21"/>
  </w:num>
  <w:num w:numId="37">
    <w:abstractNumId w:val="36"/>
  </w:num>
  <w:num w:numId="38">
    <w:abstractNumId w:val="37"/>
  </w:num>
  <w:num w:numId="39">
    <w:abstractNumId w:val="41"/>
  </w:num>
  <w:num w:numId="40">
    <w:abstractNumId w:val="6"/>
  </w:num>
  <w:num w:numId="41">
    <w:abstractNumId w:val="18"/>
  </w:num>
  <w:num w:numId="42">
    <w:abstractNumId w:val="7"/>
  </w:num>
  <w:num w:numId="43">
    <w:abstractNumId w:val="12"/>
  </w:num>
  <w:num w:numId="44">
    <w:abstractNumId w:val="45"/>
  </w:num>
  <w:num w:numId="45">
    <w:abstractNumId w:val="43"/>
  </w:num>
  <w:num w:numId="46">
    <w:abstractNumId w:val="1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5578B"/>
    <w:rsid w:val="00061F30"/>
    <w:rsid w:val="000623D7"/>
    <w:rsid w:val="000642D4"/>
    <w:rsid w:val="0006482F"/>
    <w:rsid w:val="00067014"/>
    <w:rsid w:val="00073D92"/>
    <w:rsid w:val="00075C11"/>
    <w:rsid w:val="00075FC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0907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3230"/>
    <w:rsid w:val="001059A4"/>
    <w:rsid w:val="001125D3"/>
    <w:rsid w:val="0011347A"/>
    <w:rsid w:val="001138B4"/>
    <w:rsid w:val="0011661B"/>
    <w:rsid w:val="0011662E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08E9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108C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5542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71220"/>
    <w:rsid w:val="002730F3"/>
    <w:rsid w:val="00274532"/>
    <w:rsid w:val="00274A4D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4011"/>
    <w:rsid w:val="002D4A1C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569"/>
    <w:rsid w:val="00341C7A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4FF6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687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3CEE"/>
    <w:rsid w:val="004A7820"/>
    <w:rsid w:val="004B07D2"/>
    <w:rsid w:val="004B3AFA"/>
    <w:rsid w:val="004B6B56"/>
    <w:rsid w:val="004C1940"/>
    <w:rsid w:val="004C2057"/>
    <w:rsid w:val="004C20B9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6C01"/>
    <w:rsid w:val="005D7CDA"/>
    <w:rsid w:val="005E1145"/>
    <w:rsid w:val="005E1F1B"/>
    <w:rsid w:val="005E4945"/>
    <w:rsid w:val="005F14E9"/>
    <w:rsid w:val="005F2344"/>
    <w:rsid w:val="005F49F6"/>
    <w:rsid w:val="00601F36"/>
    <w:rsid w:val="006041C3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4A3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B86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AF5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65E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0BCD"/>
    <w:rsid w:val="007E39B0"/>
    <w:rsid w:val="007E506C"/>
    <w:rsid w:val="007E6748"/>
    <w:rsid w:val="007F20F2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20EE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C13"/>
    <w:rsid w:val="008B6881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1F9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D7F6C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1DE"/>
    <w:rsid w:val="00A57A91"/>
    <w:rsid w:val="00A57BB5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11A5"/>
    <w:rsid w:val="00A923DD"/>
    <w:rsid w:val="00A926E3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B7065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3341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87CA7"/>
    <w:rsid w:val="00B902F5"/>
    <w:rsid w:val="00B90A00"/>
    <w:rsid w:val="00B92EC9"/>
    <w:rsid w:val="00B9405E"/>
    <w:rsid w:val="00B9647D"/>
    <w:rsid w:val="00BA0C7C"/>
    <w:rsid w:val="00BA279B"/>
    <w:rsid w:val="00BA3A83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15D3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3A69"/>
    <w:rsid w:val="00C45CCE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2227"/>
    <w:rsid w:val="00C94DA7"/>
    <w:rsid w:val="00C966F1"/>
    <w:rsid w:val="00CA03C5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182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7C4E"/>
    <w:rsid w:val="00D07D98"/>
    <w:rsid w:val="00D10990"/>
    <w:rsid w:val="00D171EB"/>
    <w:rsid w:val="00D177B2"/>
    <w:rsid w:val="00D21151"/>
    <w:rsid w:val="00D2366E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0D5"/>
    <w:rsid w:val="00D80D78"/>
    <w:rsid w:val="00D81323"/>
    <w:rsid w:val="00D85F02"/>
    <w:rsid w:val="00D863BD"/>
    <w:rsid w:val="00D86A49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27FC7"/>
    <w:rsid w:val="00F32D08"/>
    <w:rsid w:val="00F330EA"/>
    <w:rsid w:val="00F40599"/>
    <w:rsid w:val="00F409F3"/>
    <w:rsid w:val="00F423BB"/>
    <w:rsid w:val="00F42473"/>
    <w:rsid w:val="00F43165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7172A"/>
    <w:rsid w:val="00F71E73"/>
    <w:rsid w:val="00F72B73"/>
    <w:rsid w:val="00F73CB4"/>
    <w:rsid w:val="00F740E6"/>
    <w:rsid w:val="00F743B9"/>
    <w:rsid w:val="00F74B77"/>
    <w:rsid w:val="00F75B8C"/>
    <w:rsid w:val="00F770B4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1E83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B553-A0C4-4604-A07F-A8961E48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3</cp:revision>
  <cp:lastPrinted>2021-07-21T02:27:00Z</cp:lastPrinted>
  <dcterms:created xsi:type="dcterms:W3CDTF">2021-08-07T03:01:00Z</dcterms:created>
  <dcterms:modified xsi:type="dcterms:W3CDTF">2021-08-07T03:10:00Z</dcterms:modified>
</cp:coreProperties>
</file>