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D4" w:rsidRPr="001C16CF" w:rsidRDefault="007222D4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222D4">
        <w:rPr>
          <w:rFonts w:ascii="Times New Roman" w:eastAsia="Calibri" w:hAnsi="Times New Roman" w:cs="Times New Roman"/>
          <w:b/>
          <w:sz w:val="28"/>
          <w:szCs w:val="24"/>
        </w:rPr>
        <w:t>26 июня 2015 года</w:t>
      </w:r>
      <w:r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7222D4" w:rsidRDefault="007222D4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Повестки заседания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контрольных мероприятий,</w:t>
      </w:r>
      <w:r w:rsidRPr="007222D4">
        <w:t xml:space="preserve"> 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информация по контролю о результатах реализации </w:t>
      </w:r>
      <w:r w:rsidR="003A3A1E">
        <w:rPr>
          <w:rFonts w:ascii="Times New Roman" w:eastAsia="Calibri" w:hAnsi="Times New Roman" w:cs="Times New Roman"/>
          <w:sz w:val="28"/>
          <w:szCs w:val="24"/>
        </w:rPr>
        <w:t>одиннадцати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 представлений Контрольно-счетной палаты Забайкальского края, а также согласованы изменения в План контрольных и экспертно-аналитических мероприятий Контрольно-счетной палаты Забайкальского края на 2015 год.</w:t>
      </w:r>
    </w:p>
    <w:p w:rsidR="00193369" w:rsidRDefault="00193369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По первому вопросу рассмотрены материалы следующих контрольных мероприятий: </w:t>
      </w:r>
    </w:p>
    <w:p w:rsidR="00AB7187" w:rsidRPr="007B59C6" w:rsidRDefault="00AB7187" w:rsidP="00AB7187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B59C6">
        <w:rPr>
          <w:rFonts w:ascii="Times New Roman" w:eastAsia="Calibri" w:hAnsi="Times New Roman" w:cs="Times New Roman"/>
          <w:b/>
          <w:sz w:val="28"/>
          <w:szCs w:val="24"/>
        </w:rPr>
        <w:t xml:space="preserve">Проверка использования средств бюджета Забайкальского края, направленных на закупки в соответствии с требованиями законодательства о контрактной системе в сфере закупок за период 2014 год – 4 месяца 2015 года в ГКУ «Центр материально-технического обслуживания» Забайкальского края. </w:t>
      </w:r>
    </w:p>
    <w:p w:rsidR="007222D4" w:rsidRDefault="007222D4" w:rsidP="007222D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ходе</w:t>
      </w:r>
      <w:r w:rsidR="00AB7187">
        <w:rPr>
          <w:rFonts w:ascii="Times New Roman" w:eastAsia="Calibri" w:hAnsi="Times New Roman" w:cs="Times New Roman"/>
          <w:sz w:val="28"/>
          <w:szCs w:val="24"/>
        </w:rPr>
        <w:t xml:space="preserve"> проведенной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провер</w:t>
      </w:r>
      <w:r w:rsidR="00AB7187">
        <w:rPr>
          <w:rFonts w:ascii="Times New Roman" w:eastAsia="Calibri" w:hAnsi="Times New Roman" w:cs="Times New Roman"/>
          <w:sz w:val="28"/>
          <w:szCs w:val="24"/>
        </w:rPr>
        <w:t>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B574A">
        <w:rPr>
          <w:rFonts w:ascii="Times New Roman" w:eastAsia="Calibri" w:hAnsi="Times New Roman" w:cs="Times New Roman"/>
          <w:sz w:val="28"/>
          <w:szCs w:val="24"/>
        </w:rPr>
        <w:t>выявлен ряд нарушений и недостатков:</w:t>
      </w:r>
    </w:p>
    <w:p w:rsidR="00AB7187" w:rsidRPr="00AB7187" w:rsidRDefault="00AB7187" w:rsidP="00AB718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AB7187">
        <w:rPr>
          <w:rFonts w:ascii="Times New Roman" w:eastAsia="Calibri" w:hAnsi="Times New Roman" w:cs="Times New Roman"/>
          <w:sz w:val="28"/>
          <w:szCs w:val="24"/>
        </w:rPr>
        <w:t>государственные контракты ГКУ «ЦМТО» заключались без осуществлен</w:t>
      </w:r>
      <w:r>
        <w:rPr>
          <w:rFonts w:ascii="Times New Roman" w:eastAsia="Calibri" w:hAnsi="Times New Roman" w:cs="Times New Roman"/>
          <w:sz w:val="28"/>
          <w:szCs w:val="24"/>
        </w:rPr>
        <w:t>ия их банковского сопровождения;</w:t>
      </w:r>
    </w:p>
    <w:p w:rsidR="00AB7187" w:rsidRDefault="00AB7187" w:rsidP="00AB718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E00C24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B7187">
        <w:rPr>
          <w:rFonts w:ascii="Times New Roman" w:eastAsia="Calibri" w:hAnsi="Times New Roman" w:cs="Times New Roman"/>
          <w:sz w:val="28"/>
          <w:szCs w:val="24"/>
        </w:rPr>
        <w:t>нарушение требований ч. 6 ст. 38 Закона №44-ФЗ не имеют образования в сфере закупок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3 работника Контрактной службы</w:t>
      </w:r>
      <w:r w:rsidRPr="00AB718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(о</w:t>
      </w:r>
      <w:r w:rsidRPr="00AB7187">
        <w:rPr>
          <w:rFonts w:ascii="Times New Roman" w:eastAsia="Calibri" w:hAnsi="Times New Roman" w:cs="Times New Roman"/>
          <w:sz w:val="28"/>
          <w:szCs w:val="24"/>
        </w:rPr>
        <w:t>тсутствие должного уровня квалификации в сфере закупок у работников Контрактной службы не позволяет обеспечить соблюдение принципа профессионализма заказчика</w:t>
      </w:r>
      <w:r>
        <w:rPr>
          <w:rFonts w:ascii="Times New Roman" w:eastAsia="Calibri" w:hAnsi="Times New Roman" w:cs="Times New Roman"/>
          <w:sz w:val="28"/>
          <w:szCs w:val="24"/>
        </w:rPr>
        <w:t>);</w:t>
      </w:r>
    </w:p>
    <w:p w:rsidR="00AB7187" w:rsidRPr="00AB7187" w:rsidRDefault="00AB7187" w:rsidP="00AB718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</w:t>
      </w:r>
      <w:r w:rsidRPr="00AB7187">
        <w:rPr>
          <w:rFonts w:ascii="Times New Roman" w:eastAsia="Calibri" w:hAnsi="Times New Roman" w:cs="Times New Roman"/>
          <w:sz w:val="28"/>
          <w:szCs w:val="24"/>
        </w:rPr>
        <w:t xml:space="preserve"> 2014 году из предусмотренных планом-графиком 89 закупок исполнены закупки по 50 контрактам, за январь-апрель 2015 года из предусмотренных 20 закупок исполнение закупок не осуществлялось. Данные факты свидетельствуют о наличии рисков по своевременности достижения целей осуществления закупок</w:t>
      </w:r>
      <w:r w:rsidR="00E00C2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B7187" w:rsidRPr="008B574A" w:rsidRDefault="00AB7187" w:rsidP="00AB718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</w:t>
      </w:r>
      <w:r w:rsidRPr="00AB7187">
        <w:rPr>
          <w:rFonts w:ascii="Times New Roman" w:eastAsia="Calibri" w:hAnsi="Times New Roman" w:cs="Times New Roman"/>
          <w:sz w:val="28"/>
          <w:szCs w:val="24"/>
        </w:rPr>
        <w:t xml:space="preserve"> нарушение требований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</w:t>
      </w:r>
      <w:r w:rsidRPr="00AB7187">
        <w:rPr>
          <w:rFonts w:ascii="Times New Roman" w:eastAsia="Calibri" w:hAnsi="Times New Roman" w:cs="Times New Roman"/>
          <w:sz w:val="28"/>
          <w:szCs w:val="24"/>
        </w:rPr>
        <w:lastRenderedPageBreak/>
        <w:t>отдельного этапа его исполнения, утвержденного постановлением Правительства РФ от 28.11.2013 № 1093, отдельные отчеты опубликованы с нарушением установленного срока.</w:t>
      </w:r>
    </w:p>
    <w:p w:rsidR="00AB7187" w:rsidRDefault="007222D4" w:rsidP="005510B3">
      <w:pPr>
        <w:spacing w:after="0" w:line="360" w:lineRule="auto"/>
        <w:ind w:left="142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016B5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</w:t>
      </w:r>
      <w:r w:rsidR="005152B8">
        <w:rPr>
          <w:rFonts w:ascii="Times New Roman" w:eastAsia="Calibri" w:hAnsi="Times New Roman" w:cs="Times New Roman"/>
          <w:sz w:val="28"/>
          <w:szCs w:val="24"/>
        </w:rPr>
        <w:t xml:space="preserve"> п</w:t>
      </w:r>
      <w:r w:rsidR="005152B8" w:rsidRPr="005152B8">
        <w:rPr>
          <w:rFonts w:ascii="Times New Roman" w:eastAsia="Calibri" w:hAnsi="Times New Roman" w:cs="Times New Roman"/>
          <w:sz w:val="28"/>
          <w:szCs w:val="24"/>
        </w:rPr>
        <w:t>о фактам выявленных действий ГКУ «ЦМТО», содержащих признаки административных правонарушений, предусмотренных статьями 7.29-7.30 КоАП РФ, направить соответствующую информацию и материалы в Министерство финансов Забайкальского края.</w:t>
      </w:r>
    </w:p>
    <w:p w:rsidR="007222D4" w:rsidRPr="00E00C24" w:rsidRDefault="000539E0" w:rsidP="000539E0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B59C6">
        <w:rPr>
          <w:rFonts w:ascii="Times New Roman" w:eastAsia="Calibri" w:hAnsi="Times New Roman" w:cs="Times New Roman"/>
          <w:b/>
          <w:sz w:val="28"/>
          <w:szCs w:val="24"/>
        </w:rPr>
        <w:t>Проверка соответствия договоров о предоставлении государственных гарантий Забайкальского края требованиям бюджетного законодательства в 2014 году в Министерстве финансов Забайкальского края</w:t>
      </w:r>
      <w:r w:rsidR="00E00C24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r w:rsidR="00E00C24" w:rsidRPr="00E00C24">
        <w:rPr>
          <w:rFonts w:ascii="Times New Roman" w:eastAsia="Calibri" w:hAnsi="Times New Roman" w:cs="Times New Roman"/>
          <w:b/>
          <w:sz w:val="28"/>
          <w:szCs w:val="24"/>
        </w:rPr>
        <w:t>проведенн</w:t>
      </w:r>
      <w:r w:rsidR="00E00C24" w:rsidRPr="00E00C24">
        <w:rPr>
          <w:rFonts w:ascii="Times New Roman" w:eastAsia="Calibri" w:hAnsi="Times New Roman" w:cs="Times New Roman"/>
          <w:b/>
          <w:sz w:val="28"/>
          <w:szCs w:val="24"/>
        </w:rPr>
        <w:t>ая</w:t>
      </w:r>
      <w:r w:rsidR="00E00C24" w:rsidRPr="00E00C24">
        <w:rPr>
          <w:rFonts w:ascii="Times New Roman" w:eastAsia="Calibri" w:hAnsi="Times New Roman" w:cs="Times New Roman"/>
          <w:b/>
          <w:sz w:val="28"/>
          <w:szCs w:val="24"/>
        </w:rPr>
        <w:t xml:space="preserve"> по обращению Прокуратуры Забайкальского края</w:t>
      </w:r>
      <w:r w:rsidR="00E00C24" w:rsidRPr="00E00C24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0539E0" w:rsidRPr="000539E0" w:rsidRDefault="00E00C24" w:rsidP="00E00C24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="000539E0" w:rsidRPr="000539E0">
        <w:rPr>
          <w:rFonts w:ascii="Times New Roman" w:eastAsia="Calibri" w:hAnsi="Times New Roman" w:cs="Times New Roman"/>
          <w:sz w:val="28"/>
          <w:szCs w:val="24"/>
        </w:rPr>
        <w:t>В ходе проведенной проверки выявлен ряд нарушений и недостатков: невысокая ликвидность отдельного залогового обеспечения; критерии оценки реальной стоимости и надежности (ликвидности) предмета залога, передаваемого в обеспечение государственной краевой гарантии, в Министерстве отсутствуют</w:t>
      </w:r>
      <w:r>
        <w:rPr>
          <w:rFonts w:ascii="Times New Roman" w:eastAsia="Calibri" w:hAnsi="Times New Roman" w:cs="Times New Roman"/>
          <w:sz w:val="28"/>
          <w:szCs w:val="24"/>
        </w:rPr>
        <w:t>; м</w:t>
      </w:r>
      <w:r w:rsidR="000539E0" w:rsidRPr="000539E0">
        <w:rPr>
          <w:rFonts w:ascii="Times New Roman" w:eastAsia="Calibri" w:hAnsi="Times New Roman" w:cs="Times New Roman"/>
          <w:sz w:val="28"/>
          <w:szCs w:val="24"/>
        </w:rPr>
        <w:t>етодики оценки надежности (ликвидности) предмета залога, передаваемого в обеспечение государственной краевой гарантии, не разработаны; подготовка заключений о надежности поручительств принципалов действующим краевым законодательством не предусмотрена.</w:t>
      </w:r>
    </w:p>
    <w:p w:rsidR="000539E0" w:rsidRPr="000539E0" w:rsidRDefault="000539E0" w:rsidP="0056419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39E0">
        <w:rPr>
          <w:rFonts w:ascii="Times New Roman" w:eastAsia="Calibri" w:hAnsi="Times New Roman" w:cs="Times New Roman"/>
          <w:sz w:val="28"/>
          <w:szCs w:val="24"/>
        </w:rPr>
        <w:t>2. Договора о предоставлении государственной гарантии не предусматривают право гаранта требовать от принципала дополнительное залоговое обеспечение в случае снижения цены предмета залога, что влечет риски необеспеченности залогом имущества в период срока действ</w:t>
      </w:r>
      <w:r w:rsidR="00564190">
        <w:rPr>
          <w:rFonts w:ascii="Times New Roman" w:eastAsia="Calibri" w:hAnsi="Times New Roman" w:cs="Times New Roman"/>
          <w:sz w:val="28"/>
          <w:szCs w:val="24"/>
        </w:rPr>
        <w:t>ия государственной гарантии</w:t>
      </w:r>
      <w:r w:rsidR="009961E4">
        <w:rPr>
          <w:rFonts w:ascii="Times New Roman" w:eastAsia="Calibri" w:hAnsi="Times New Roman" w:cs="Times New Roman"/>
          <w:sz w:val="28"/>
          <w:szCs w:val="24"/>
        </w:rPr>
        <w:t>,</w:t>
      </w:r>
      <w:r w:rsidR="00564190">
        <w:rPr>
          <w:rFonts w:ascii="Times New Roman" w:eastAsia="Calibri" w:hAnsi="Times New Roman" w:cs="Times New Roman"/>
          <w:sz w:val="28"/>
          <w:szCs w:val="24"/>
        </w:rPr>
        <w:t xml:space="preserve"> и в </w:t>
      </w:r>
      <w:r w:rsidRPr="000539E0">
        <w:rPr>
          <w:rFonts w:ascii="Times New Roman" w:eastAsia="Calibri" w:hAnsi="Times New Roman" w:cs="Times New Roman"/>
          <w:sz w:val="28"/>
          <w:szCs w:val="24"/>
        </w:rPr>
        <w:t>не в полной мере обеспечива</w:t>
      </w:r>
      <w:r w:rsidR="00564190">
        <w:rPr>
          <w:rFonts w:ascii="Times New Roman" w:eastAsia="Calibri" w:hAnsi="Times New Roman" w:cs="Times New Roman"/>
          <w:sz w:val="28"/>
          <w:szCs w:val="24"/>
        </w:rPr>
        <w:t>ет</w:t>
      </w:r>
      <w:r w:rsidRPr="000539E0">
        <w:rPr>
          <w:rFonts w:ascii="Times New Roman" w:eastAsia="Calibri" w:hAnsi="Times New Roman" w:cs="Times New Roman"/>
          <w:sz w:val="28"/>
          <w:szCs w:val="24"/>
        </w:rPr>
        <w:t xml:space="preserve"> соблюдение требований п.3 ст.93.2 БК РФ по высокой степени ликвидности залогового обеспечения.</w:t>
      </w:r>
    </w:p>
    <w:p w:rsidR="000539E0" w:rsidRDefault="000539E0" w:rsidP="000539E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39E0">
        <w:rPr>
          <w:rFonts w:ascii="Times New Roman" w:eastAsia="Calibri" w:hAnsi="Times New Roman" w:cs="Times New Roman"/>
          <w:sz w:val="28"/>
          <w:szCs w:val="24"/>
        </w:rPr>
        <w:t xml:space="preserve">3. Анализ финансового состояния проводится в виде предварительного мероприятия в целях предоставления государственной </w:t>
      </w:r>
      <w:r w:rsidRPr="000539E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краевой гарантии и не предусматривает текущего анализа в целях периодической оценки финансового состояния принципала в течение срока действия предоставленной принципалу государственной гарантии края. </w:t>
      </w:r>
    </w:p>
    <w:p w:rsidR="000539E0" w:rsidRPr="000539E0" w:rsidRDefault="000539E0" w:rsidP="000539E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39E0">
        <w:rPr>
          <w:rFonts w:ascii="Times New Roman" w:eastAsia="Calibri" w:hAnsi="Times New Roman" w:cs="Times New Roman"/>
          <w:sz w:val="28"/>
          <w:szCs w:val="24"/>
        </w:rPr>
        <w:t>4. Краевыми нормативными правовыми актами не предусмотрен отказ в предоставлении государственной гарантии при наличии отрицательного заключения органа, уполномоченного на проведение анализа финансового состояния.</w:t>
      </w:r>
    </w:p>
    <w:p w:rsidR="000539E0" w:rsidRPr="000539E0" w:rsidRDefault="000539E0" w:rsidP="000539E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39E0">
        <w:rPr>
          <w:rFonts w:ascii="Times New Roman" w:eastAsia="Calibri" w:hAnsi="Times New Roman" w:cs="Times New Roman"/>
          <w:sz w:val="28"/>
          <w:szCs w:val="24"/>
        </w:rPr>
        <w:t xml:space="preserve">5. В ходе проверки установлено несоответствие форм отчетов, включенных в перечень документов, представляемых принципалами для проведения анализа финансового состояния, требованиям приказа Министерства финансов РФ от 02.07.2010 №66н. </w:t>
      </w:r>
    </w:p>
    <w:p w:rsidR="00220776" w:rsidRPr="00564190" w:rsidRDefault="009D1E94" w:rsidP="0056419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D1E94">
        <w:rPr>
          <w:rFonts w:ascii="Times New Roman" w:eastAsia="Calibri" w:hAnsi="Times New Roman" w:cs="Times New Roman"/>
          <w:sz w:val="28"/>
          <w:szCs w:val="24"/>
        </w:rPr>
        <w:t>По итогам рассмот</w:t>
      </w:r>
      <w:r w:rsidR="00564190">
        <w:rPr>
          <w:rFonts w:ascii="Times New Roman" w:eastAsia="Calibri" w:hAnsi="Times New Roman" w:cs="Times New Roman"/>
          <w:sz w:val="28"/>
          <w:szCs w:val="24"/>
        </w:rPr>
        <w:t>рения Коллегией принято решение н</w:t>
      </w:r>
      <w:r w:rsidR="00220776" w:rsidRPr="00564190">
        <w:rPr>
          <w:rFonts w:ascii="Times New Roman" w:eastAsia="Calibri" w:hAnsi="Times New Roman" w:cs="Times New Roman"/>
          <w:sz w:val="28"/>
          <w:szCs w:val="24"/>
        </w:rPr>
        <w:t>аправить в Министерство финансов Забайкальского края представление об устранении выявленных в ходе проверки нарушений; информационное письмо в Правительство Забайкальского края; утвержденный отчет в Прокуратуру Забайкальского края.</w:t>
      </w:r>
    </w:p>
    <w:p w:rsidR="002D1E1A" w:rsidRDefault="002D1E1A" w:rsidP="002D1E1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2D1E1A">
        <w:rPr>
          <w:rFonts w:ascii="Times New Roman" w:eastAsia="Calibri" w:hAnsi="Times New Roman" w:cs="Times New Roman"/>
          <w:b/>
          <w:sz w:val="28"/>
          <w:szCs w:val="24"/>
        </w:rPr>
        <w:t>Проверка отдельных вопросов использования бюджетных средств в Министерстве культуры Забайкальского края за период 2013 год – 5 месяцев 2015 года</w:t>
      </w:r>
      <w:r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7E6C2A" w:rsidRDefault="007E6C2A" w:rsidP="0056419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Проверка проведена по обращению физического лица по вопросу использования средств, выделенных на реализацию </w:t>
      </w:r>
      <w:r w:rsidRPr="007E6C2A">
        <w:rPr>
          <w:rFonts w:ascii="Times New Roman" w:eastAsia="Calibri" w:hAnsi="Times New Roman" w:cs="Times New Roman"/>
          <w:sz w:val="28"/>
          <w:szCs w:val="24"/>
        </w:rPr>
        <w:t>мероприятий по сохранению, популяризации и государственной охране объектов культурного наследия, находящихся в собственности Забайкальского края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7E6C2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2D1E1A" w:rsidRDefault="002D1E1A" w:rsidP="0056419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1E1A">
        <w:rPr>
          <w:rFonts w:ascii="Times New Roman" w:eastAsia="Calibri" w:hAnsi="Times New Roman" w:cs="Times New Roman"/>
          <w:sz w:val="28"/>
          <w:szCs w:val="24"/>
        </w:rPr>
        <w:t xml:space="preserve">В ходе проведенной проверки </w:t>
      </w:r>
      <w:r w:rsidR="00973FCF">
        <w:rPr>
          <w:rFonts w:ascii="Times New Roman" w:eastAsia="Calibri" w:hAnsi="Times New Roman" w:cs="Times New Roman"/>
          <w:sz w:val="28"/>
          <w:szCs w:val="24"/>
        </w:rPr>
        <w:t>установлено</w:t>
      </w:r>
      <w:r w:rsidR="00564190">
        <w:rPr>
          <w:rFonts w:ascii="Times New Roman" w:eastAsia="Calibri" w:hAnsi="Times New Roman" w:cs="Times New Roman"/>
          <w:sz w:val="28"/>
          <w:szCs w:val="24"/>
        </w:rPr>
        <w:t>, что б</w:t>
      </w:r>
      <w:r w:rsidRPr="002D1E1A">
        <w:rPr>
          <w:rFonts w:ascii="Times New Roman" w:eastAsia="Calibri" w:hAnsi="Times New Roman" w:cs="Times New Roman"/>
          <w:sz w:val="28"/>
          <w:szCs w:val="24"/>
        </w:rPr>
        <w:t xml:space="preserve">юджетные ассигнования на реставрацию объекта культурного наследия «Дом доходный </w:t>
      </w:r>
      <w:proofErr w:type="spellStart"/>
      <w:r w:rsidRPr="002D1E1A">
        <w:rPr>
          <w:rFonts w:ascii="Times New Roman" w:eastAsia="Calibri" w:hAnsi="Times New Roman" w:cs="Times New Roman"/>
          <w:sz w:val="28"/>
          <w:szCs w:val="24"/>
        </w:rPr>
        <w:t>Полутова</w:t>
      </w:r>
      <w:proofErr w:type="spellEnd"/>
      <w:r w:rsidRPr="002D1E1A">
        <w:rPr>
          <w:rFonts w:ascii="Times New Roman" w:eastAsia="Calibri" w:hAnsi="Times New Roman" w:cs="Times New Roman"/>
          <w:sz w:val="28"/>
          <w:szCs w:val="24"/>
        </w:rPr>
        <w:t xml:space="preserve">  Д. В.» по адресу г. Чита, ул. Журавлева, 26 Законами о бюджете края на 2013-2015 годы не предусмотрены, так как обязанности по финансированию мероприятий, обеспечивающих выполнение требований по сохранению, использованию, популяризации данного объекта культурного наследия, на основании ст. 47.6 Федерального закона №73-ФЗ, устанавливаются охранным обязательством физических или юридических </w:t>
      </w:r>
      <w:r w:rsidRPr="002D1E1A">
        <w:rPr>
          <w:rFonts w:ascii="Times New Roman" w:eastAsia="Calibri" w:hAnsi="Times New Roman" w:cs="Times New Roman"/>
          <w:sz w:val="28"/>
          <w:szCs w:val="24"/>
        </w:rPr>
        <w:lastRenderedPageBreak/>
        <w:t>лиц, которым объект культурного наследия принадлежит на праве собственности или ином вещном праве.</w:t>
      </w:r>
    </w:p>
    <w:p w:rsidR="007E6C2A" w:rsidRDefault="007E6C2A" w:rsidP="0056419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Фактов нецелевого и неэффективного использования средств не установлено. </w:t>
      </w:r>
    </w:p>
    <w:p w:rsidR="00564190" w:rsidRPr="002D1E1A" w:rsidRDefault="00564190" w:rsidP="00564190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64190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</w:t>
      </w:r>
      <w:r w:rsidRPr="00564190">
        <w:rPr>
          <w:rFonts w:ascii="Times New Roman" w:eastAsia="Calibri" w:hAnsi="Times New Roman" w:cs="Times New Roman"/>
          <w:sz w:val="28"/>
          <w:szCs w:val="24"/>
        </w:rPr>
        <w:t>аправить информационное письмо в Министерство культуры Забайкальского края о необходимости принятия мер, направленных на оформление охранных обязательств собственников жилых помещений в многоквартирном доме по адресу г. Чита, ул. Журавлева, 26, являющимся объектом культурного наследия, с которыми указанные охранные обязательства не заключены.</w:t>
      </w:r>
    </w:p>
    <w:p w:rsidR="00AE55EB" w:rsidRPr="007B59C6" w:rsidRDefault="00AE55EB" w:rsidP="00AE55E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B59C6">
        <w:rPr>
          <w:rFonts w:ascii="Times New Roman" w:eastAsia="Calibri" w:hAnsi="Times New Roman" w:cs="Times New Roman"/>
          <w:b/>
          <w:sz w:val="28"/>
          <w:szCs w:val="24"/>
        </w:rPr>
        <w:t>Проверка соблюдения Министерством образования, науки и молодежной политики Забайкальского края порядка формирования государственных заданий подведомственными бюджетными и автономными учреждениями в период с 23.12.2014 по 22.04.2015.</w:t>
      </w:r>
    </w:p>
    <w:p w:rsidR="00AE55EB" w:rsidRDefault="00AE55EB" w:rsidP="00AE55E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55EB">
        <w:rPr>
          <w:rFonts w:ascii="Times New Roman" w:eastAsia="Calibri" w:hAnsi="Times New Roman" w:cs="Times New Roman"/>
          <w:sz w:val="28"/>
          <w:szCs w:val="24"/>
        </w:rPr>
        <w:t>В ходе проведенной проверки выявлен ряд нарушений и недостатков</w:t>
      </w:r>
      <w:r>
        <w:rPr>
          <w:rFonts w:ascii="Times New Roman" w:eastAsia="Calibri" w:hAnsi="Times New Roman" w:cs="Times New Roman"/>
          <w:sz w:val="28"/>
          <w:szCs w:val="24"/>
        </w:rPr>
        <w:t>:</w:t>
      </w:r>
    </w:p>
    <w:p w:rsidR="00AE55EB" w:rsidRPr="00AE55EB" w:rsidRDefault="00AE55EB" w:rsidP="00AE55E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</w:t>
      </w:r>
      <w:r w:rsidRPr="00AE55EB">
        <w:rPr>
          <w:rFonts w:ascii="Times New Roman" w:eastAsia="Calibri" w:hAnsi="Times New Roman" w:cs="Times New Roman"/>
          <w:sz w:val="28"/>
          <w:szCs w:val="24"/>
        </w:rPr>
        <w:t xml:space="preserve"> нарушение п.5 Порядка формирования государственных заданий ряд государственных заданий на оказание государственных услуг (выполнение государственных работ) сформирован Министерством</w:t>
      </w:r>
      <w:r w:rsidR="00564190">
        <w:rPr>
          <w:rFonts w:ascii="Times New Roman" w:eastAsia="Calibri" w:hAnsi="Times New Roman" w:cs="Times New Roman"/>
          <w:sz w:val="28"/>
          <w:szCs w:val="24"/>
        </w:rPr>
        <w:t xml:space="preserve"> образования, науки и молодежной политики Забайкальского края(далее Министерство)</w:t>
      </w:r>
      <w:r w:rsidRPr="00AE55EB">
        <w:rPr>
          <w:rFonts w:ascii="Times New Roman" w:eastAsia="Calibri" w:hAnsi="Times New Roman" w:cs="Times New Roman"/>
          <w:sz w:val="28"/>
          <w:szCs w:val="24"/>
        </w:rPr>
        <w:t xml:space="preserve"> при том, что данные услуги (работы) отсутствуют в консолидированном перечне государственных услуг (работ), оказываемых (выполняемых) государственными учреждениями Забайкальского края, утвержденном распоряжением Правительством края от 16.06.2011 №313-р</w:t>
      </w:r>
      <w:r w:rsidR="00E00C2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E55EB" w:rsidRPr="00AE55EB" w:rsidRDefault="00AE55EB" w:rsidP="00AE55E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в</w:t>
      </w:r>
      <w:r w:rsidRPr="00AE55EB">
        <w:rPr>
          <w:rFonts w:ascii="Times New Roman" w:eastAsia="Calibri" w:hAnsi="Times New Roman" w:cs="Times New Roman"/>
          <w:sz w:val="28"/>
          <w:szCs w:val="24"/>
        </w:rPr>
        <w:t xml:space="preserve"> нарушение п.3 Порядка формирования государственных заданий государственные задания для подведомственных учреждений сформированы Министерством без учета требований данного порядка (в части отсутствия некоторой информации)</w:t>
      </w:r>
      <w:r w:rsidR="00E00C2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E55EB" w:rsidRPr="00AE55EB" w:rsidRDefault="00AE55EB" w:rsidP="00AE55E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56419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Pr="00AE55EB">
        <w:rPr>
          <w:rFonts w:ascii="Times New Roman" w:eastAsia="Calibri" w:hAnsi="Times New Roman" w:cs="Times New Roman"/>
          <w:sz w:val="28"/>
          <w:szCs w:val="24"/>
        </w:rPr>
        <w:t xml:space="preserve"> нарушение</w:t>
      </w:r>
      <w:proofErr w:type="gramEnd"/>
      <w:r w:rsidRPr="00AE55EB">
        <w:rPr>
          <w:rFonts w:ascii="Times New Roman" w:eastAsia="Calibri" w:hAnsi="Times New Roman" w:cs="Times New Roman"/>
          <w:sz w:val="28"/>
          <w:szCs w:val="24"/>
        </w:rPr>
        <w:t xml:space="preserve"> п. 3 постановления Правительства края от 08.02.2011 №30 Министерством не утверждены величины (значения) нормативных затрат на оказание государственных услуг (выполнение работ) и нормативных затрат на содержание имущества государственных </w:t>
      </w:r>
      <w:r w:rsidRPr="00AE55EB">
        <w:rPr>
          <w:rFonts w:ascii="Times New Roman" w:eastAsia="Calibri" w:hAnsi="Times New Roman" w:cs="Times New Roman"/>
          <w:sz w:val="28"/>
          <w:szCs w:val="24"/>
        </w:rPr>
        <w:lastRenderedPageBreak/>
        <w:t>учреждений, подведомственных Министерству. Фактически, расчет нормативных затрат корректируется под объем бюджетных ассигнований, предусмотренных на указанные цели сводной бюджетной росписью Министерству.</w:t>
      </w:r>
    </w:p>
    <w:p w:rsidR="00AE55EB" w:rsidRDefault="00AE55EB" w:rsidP="00AE55EB">
      <w:pPr>
        <w:pStyle w:val="a3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55EB">
        <w:rPr>
          <w:rFonts w:ascii="Times New Roman" w:eastAsia="Calibri" w:hAnsi="Times New Roman" w:cs="Times New Roman"/>
          <w:sz w:val="28"/>
          <w:szCs w:val="24"/>
        </w:rPr>
        <w:t>В ходе контрольного мероприятия в отношении должностного лица Министерства (министра), утвердившего государственные задания, составлен протокол №18/2015 от 05.06.2015 об административном правонарушении, предусмотренном ст.15.15.15 КоАП РФ. Протокол направлен в Министерство финансов Забайкальского края для рассмотрения.</w:t>
      </w:r>
    </w:p>
    <w:p w:rsidR="00391359" w:rsidRDefault="00391359" w:rsidP="00391359">
      <w:pPr>
        <w:pStyle w:val="a3"/>
        <w:spacing w:after="0" w:line="360" w:lineRule="auto"/>
        <w:ind w:left="0" w:firstLine="993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91359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</w:t>
      </w:r>
      <w:r>
        <w:rPr>
          <w:rFonts w:ascii="Times New Roman" w:eastAsia="Calibri" w:hAnsi="Times New Roman" w:cs="Times New Roman"/>
          <w:sz w:val="28"/>
          <w:szCs w:val="24"/>
        </w:rPr>
        <w:t>внести</w:t>
      </w:r>
      <w:r w:rsidRPr="00391359">
        <w:rPr>
          <w:rFonts w:ascii="Times New Roman" w:eastAsia="Calibri" w:hAnsi="Times New Roman" w:cs="Times New Roman"/>
          <w:sz w:val="28"/>
          <w:szCs w:val="24"/>
        </w:rPr>
        <w:t xml:space="preserve"> в Министерство образования, науки и молодежной политики Забайкальского края представление для принятия мер по устранению выявленных нарушений и недостатков.</w:t>
      </w:r>
    </w:p>
    <w:p w:rsidR="00391359" w:rsidRPr="007B59C6" w:rsidRDefault="00391359" w:rsidP="00391359">
      <w:pPr>
        <w:pStyle w:val="a3"/>
        <w:numPr>
          <w:ilvl w:val="0"/>
          <w:numId w:val="1"/>
        </w:numPr>
        <w:spacing w:after="0" w:line="360" w:lineRule="auto"/>
        <w:ind w:left="0" w:firstLine="121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7B59C6">
        <w:rPr>
          <w:rFonts w:ascii="Times New Roman" w:eastAsia="Calibri" w:hAnsi="Times New Roman" w:cs="Times New Roman"/>
          <w:b/>
          <w:sz w:val="28"/>
          <w:szCs w:val="24"/>
        </w:rPr>
        <w:t xml:space="preserve">Проверка отдельных вопросов исполнения бюджета Территориального фонда обязательного медицинского страхования Забайкальского края за 2014 год. </w:t>
      </w:r>
    </w:p>
    <w:p w:rsidR="00391359" w:rsidRDefault="00391359" w:rsidP="007222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>В ходе проведенной проверки фактов неполноты и недостоверности годового отчета об исполнении бюджета ТФОМС и годовой бюджетной отчетности за 2014 год не выявлено.</w:t>
      </w:r>
    </w:p>
    <w:p w:rsidR="00391359" w:rsidRDefault="00391359" w:rsidP="007222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 xml:space="preserve">По итогам рассмотрения Коллегией принято решение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359">
        <w:rPr>
          <w:rFonts w:ascii="Times New Roman" w:hAnsi="Times New Roman" w:cs="Times New Roman"/>
          <w:sz w:val="28"/>
          <w:szCs w:val="28"/>
        </w:rPr>
        <w:t>ринять отчет по результатам контрольного мероприятия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59" w:rsidRPr="007B59C6" w:rsidRDefault="00391359" w:rsidP="0039135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C6">
        <w:rPr>
          <w:rFonts w:ascii="Times New Roman" w:hAnsi="Times New Roman" w:cs="Times New Roman"/>
          <w:b/>
          <w:sz w:val="28"/>
          <w:szCs w:val="28"/>
        </w:rPr>
        <w:t xml:space="preserve">Проверка реализации мер, принятых Министерством образования, науки и молодежной политики Забайкальского края по результатам контрольного мероприятия «Проверка законности, эффективности, обоснованности использования средств субсидий, предоставленных из бюджета Забайкальского края имеющим государственную аккредитацию негосударственным общеобразовательным учреждениям в целях возмещения затрат в связи с предоставлением гражданам, дошкольного, начального общего, основного общего и среднего (полного) общего образования в 2013-2014 годах, а также субсидий, предоставленных частным дошкольным </w:t>
      </w:r>
      <w:r w:rsidRPr="007B59C6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образовательным организациям на возмещение затрат в связи с предоставлением дошкольного образования в 2014 году, за период с 01.11.2014 по 30.04.2015.</w:t>
      </w:r>
    </w:p>
    <w:p w:rsidR="00391359" w:rsidRDefault="00391359" w:rsidP="0039135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 xml:space="preserve">В ходе проведенной проверки </w:t>
      </w:r>
      <w:r w:rsidR="00E00C24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391359">
        <w:rPr>
          <w:rFonts w:ascii="Times New Roman" w:hAnsi="Times New Roman" w:cs="Times New Roman"/>
          <w:sz w:val="28"/>
          <w:szCs w:val="28"/>
        </w:rPr>
        <w:t>Министерством соблюдаются требования Порядка предоставления субсидий из бюджета Забайкальского края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предоставлением дошкольного, начального общего, основного общего, среднего общего образования, утвержденного постановлением Правительства Забайкальского края от 27.05.2014 №279, за исключением контрольных полномочий Министерства. Так, в проверяемом периоде, в нарушение пункта 22 указанного порядка, Министерством не осуществлялись обязательные проверки соблюдения организациями – получателями субсидий условий, целей и порядка предоставления субсидий</w:t>
      </w:r>
      <w:bookmarkStart w:id="0" w:name="_GoBack"/>
      <w:bookmarkEnd w:id="0"/>
      <w:r w:rsidRPr="00391359">
        <w:rPr>
          <w:rFonts w:ascii="Times New Roman" w:hAnsi="Times New Roman" w:cs="Times New Roman"/>
          <w:sz w:val="28"/>
          <w:szCs w:val="28"/>
        </w:rPr>
        <w:t>.</w:t>
      </w:r>
    </w:p>
    <w:p w:rsidR="00391359" w:rsidRDefault="00391359" w:rsidP="0039135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359">
        <w:rPr>
          <w:rFonts w:ascii="Times New Roman" w:hAnsi="Times New Roman" w:cs="Times New Roman"/>
          <w:sz w:val="28"/>
          <w:szCs w:val="28"/>
        </w:rPr>
        <w:t>По итогам рассмотрения Коллегией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91359">
        <w:rPr>
          <w:rFonts w:ascii="Times New Roman" w:hAnsi="Times New Roman" w:cs="Times New Roman"/>
          <w:sz w:val="28"/>
          <w:szCs w:val="28"/>
        </w:rPr>
        <w:t>нести в Министерство образования, науки и молодежной политики Забайкальского края повторное представление для принятия мер по устранению выявленного нарушения.</w:t>
      </w:r>
    </w:p>
    <w:p w:rsidR="00391359" w:rsidRPr="00391359" w:rsidRDefault="00391359" w:rsidP="00391359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22D4" w:rsidRDefault="007222D4" w:rsidP="007222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Коллегии была рассмотрена информация по контролю о результатах реализации </w:t>
      </w:r>
      <w:r w:rsidR="0097153A">
        <w:rPr>
          <w:rFonts w:ascii="Times New Roman" w:hAnsi="Times New Roman" w:cs="Times New Roman"/>
          <w:sz w:val="28"/>
          <w:szCs w:val="28"/>
        </w:rPr>
        <w:t>одиннадцати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Контрольно-счетной палаты Забайкальского края, которы</w:t>
      </w:r>
      <w:r w:rsidR="003A3A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исполнены и по решению Коллегии сняты с контроля. </w:t>
      </w:r>
    </w:p>
    <w:p w:rsidR="007222D4" w:rsidRDefault="007222D4" w:rsidP="007222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2D4" w:rsidRPr="00180CFA" w:rsidRDefault="007222D4" w:rsidP="005F0E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FA">
        <w:rPr>
          <w:rFonts w:ascii="Times New Roman" w:hAnsi="Times New Roman" w:cs="Times New Roman"/>
          <w:sz w:val="28"/>
          <w:szCs w:val="28"/>
        </w:rPr>
        <w:t xml:space="preserve">Кроме того, на заседании Коллегии были </w:t>
      </w:r>
      <w:r>
        <w:rPr>
          <w:rFonts w:ascii="Times New Roman" w:hAnsi="Times New Roman" w:cs="Times New Roman"/>
          <w:sz w:val="28"/>
          <w:szCs w:val="28"/>
        </w:rPr>
        <w:t>рассмотрены и</w:t>
      </w:r>
      <w:r w:rsidRPr="00180CFA">
        <w:rPr>
          <w:rFonts w:ascii="Times New Roman" w:hAnsi="Times New Roman" w:cs="Times New Roman"/>
          <w:sz w:val="28"/>
          <w:szCs w:val="28"/>
        </w:rPr>
        <w:t xml:space="preserve"> согласованы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План контрольных и экспертно-аналитических мероприятий </w:t>
      </w:r>
      <w:r w:rsidRPr="008F0D2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0D2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8E23F4" w:rsidRDefault="008E23F4"/>
    <w:sectPr w:rsidR="008E23F4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E38"/>
    <w:multiLevelType w:val="hybridMultilevel"/>
    <w:tmpl w:val="6FEAD5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04403E9"/>
    <w:multiLevelType w:val="hybridMultilevel"/>
    <w:tmpl w:val="7FA8DA40"/>
    <w:lvl w:ilvl="0" w:tplc="E20EF0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1F"/>
    <w:rsid w:val="0002215B"/>
    <w:rsid w:val="000539E0"/>
    <w:rsid w:val="00193369"/>
    <w:rsid w:val="00220776"/>
    <w:rsid w:val="002D1E1A"/>
    <w:rsid w:val="0032341F"/>
    <w:rsid w:val="00365BA7"/>
    <w:rsid w:val="00391359"/>
    <w:rsid w:val="003A3A1E"/>
    <w:rsid w:val="005152B8"/>
    <w:rsid w:val="005413CD"/>
    <w:rsid w:val="005510B3"/>
    <w:rsid w:val="00551F27"/>
    <w:rsid w:val="00564190"/>
    <w:rsid w:val="005F0E2D"/>
    <w:rsid w:val="00616354"/>
    <w:rsid w:val="007222D4"/>
    <w:rsid w:val="007B59C6"/>
    <w:rsid w:val="007E6C2A"/>
    <w:rsid w:val="008A7F33"/>
    <w:rsid w:val="008E23F4"/>
    <w:rsid w:val="0095433C"/>
    <w:rsid w:val="0097153A"/>
    <w:rsid w:val="00973FCF"/>
    <w:rsid w:val="009961E4"/>
    <w:rsid w:val="009D1E94"/>
    <w:rsid w:val="00AB7187"/>
    <w:rsid w:val="00AE55EB"/>
    <w:rsid w:val="00CF6FF5"/>
    <w:rsid w:val="00E00C24"/>
    <w:rsid w:val="00E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9DB43-893E-4A5D-8887-9E3F2CC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Гантимурова</dc:creator>
  <cp:lastModifiedBy>Елена Валентиновна Григорьева</cp:lastModifiedBy>
  <cp:revision>5</cp:revision>
  <cp:lastPrinted>2015-06-29T03:31:00Z</cp:lastPrinted>
  <dcterms:created xsi:type="dcterms:W3CDTF">2015-06-29T08:01:00Z</dcterms:created>
  <dcterms:modified xsi:type="dcterms:W3CDTF">2015-06-30T02:52:00Z</dcterms:modified>
</cp:coreProperties>
</file>