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AD" w:rsidRDefault="00C250AD" w:rsidP="00C2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212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Порядок обжалования </w:t>
      </w:r>
    </w:p>
    <w:p w:rsidR="00C250AD" w:rsidRPr="0082121E" w:rsidRDefault="00C250AD" w:rsidP="00C25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2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результатов конкурсов </w:t>
      </w:r>
    </w:p>
    <w:p w:rsidR="00C250AD" w:rsidRDefault="00C250AD" w:rsidP="00C25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0AD" w:rsidRPr="0082121E" w:rsidRDefault="00C250AD" w:rsidP="00C25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27 Положения о конкурсе на замещение вакантной должности государственной гражданской службы Российской Федерации, утвержденного </w:t>
      </w:r>
      <w:hyperlink r:id="rId5" w:history="1">
        <w:r w:rsidRPr="008212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01 февраля 2005 года № 112 «О конкурсе на замещение вакантной должности государственной гражданской службы Российской Федерации»</w:t>
        </w:r>
      </w:hyperlink>
      <w:r w:rsidRPr="00821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:rsidR="00C250AD" w:rsidRPr="0082121E" w:rsidRDefault="00C250AD" w:rsidP="00C250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Порядок обжалования результатов конкурсов на замещение вакантных должностей государственной гражданской службы установлен </w:t>
      </w:r>
      <w:hyperlink r:id="rId6" w:history="1">
        <w:r w:rsidRPr="008212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июля 2004 года     № 79-ФЗ «О государственной гражданской службе Российской Федерации»</w:t>
        </w:r>
      </w:hyperlink>
      <w:r w:rsidRPr="00821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0AD" w:rsidRDefault="00C250AD" w:rsidP="00C250AD">
      <w:pPr>
        <w:spacing w:after="0" w:line="360" w:lineRule="auto"/>
        <w:ind w:firstLine="709"/>
        <w:jc w:val="both"/>
      </w:pPr>
      <w:r w:rsidRPr="008212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2121E">
        <w:t>В соответствии со статьей 22 Федерального закона «О государственной гражданской службе Российской Федерации» (далее – Федеральный закон) претенденту на замещение должности государственной гражданской службы может быть отказано в допуске к участию в конкурсе в связи с несоответствием квалификационным требованиям к вакантной должности государственной гражданской службы, а также в связи с ограничениями, установленными Федеральным законом для поступления на государственную гражданскую службу и ее прохождения.</w:t>
      </w:r>
    </w:p>
    <w:p w:rsidR="00C250AD" w:rsidRDefault="0082121E" w:rsidP="00C250AD">
      <w:pPr>
        <w:spacing w:after="0" w:line="360" w:lineRule="auto"/>
        <w:ind w:firstLine="709"/>
        <w:jc w:val="both"/>
      </w:pPr>
      <w:r>
        <w:t>Претендент на замещение должности государственной гражданской службы, не допущенный к участию в конкурсе, вправе обжаловать это решение в соответствии с Федеральным законом.</w:t>
      </w:r>
    </w:p>
    <w:p w:rsidR="00C250AD" w:rsidRDefault="0082121E" w:rsidP="00C250AD">
      <w:pPr>
        <w:spacing w:after="0" w:line="360" w:lineRule="auto"/>
        <w:ind w:firstLine="709"/>
        <w:jc w:val="both"/>
      </w:pPr>
      <w:r>
        <w:t>Претендент на замещение должности государственной гражданской службы вправе обжаловать решение конкурсной комиссии (результаты конкурса) в соответствии с Федеральным законом.</w:t>
      </w:r>
    </w:p>
    <w:p w:rsidR="00C250AD" w:rsidRDefault="0082121E" w:rsidP="00C250AD">
      <w:pPr>
        <w:spacing w:after="0" w:line="360" w:lineRule="auto"/>
        <w:ind w:firstLine="709"/>
        <w:jc w:val="both"/>
      </w:pPr>
      <w:r>
        <w:t>В соответствии со статьей 70 Федерального закона</w:t>
      </w:r>
      <w:r w:rsidR="00C250AD">
        <w:t xml:space="preserve"> №79-ФЗ </w:t>
      </w:r>
      <w:r>
        <w:t xml:space="preserve"> государственный гражданский служащий либо гражданин, поступающий на государственную гражданскую службу, может обратиться в комиссию по служебным спорам в трехмесячный срок со дня, когда он узнал или должен был узнать о нарушении своего права.</w:t>
      </w:r>
    </w:p>
    <w:p w:rsidR="00C250AD" w:rsidRDefault="00C250AD" w:rsidP="00C250AD">
      <w:pPr>
        <w:spacing w:after="0" w:line="360" w:lineRule="auto"/>
        <w:ind w:firstLine="709"/>
        <w:jc w:val="both"/>
      </w:pPr>
      <w:r>
        <w:t>В</w:t>
      </w:r>
      <w:r w:rsidR="0082121E">
        <w:t xml:space="preserve"> случае пропуска по уважительным причинам установленного срока, комиссия по служебным спорам может восстановить этот срок и рассмотреть служебный спор по существу.</w:t>
      </w:r>
    </w:p>
    <w:p w:rsidR="00C250AD" w:rsidRDefault="0082121E" w:rsidP="00C250AD">
      <w:pPr>
        <w:spacing w:after="0" w:line="360" w:lineRule="auto"/>
        <w:ind w:firstLine="709"/>
        <w:jc w:val="both"/>
      </w:pPr>
      <w:r>
        <w:t xml:space="preserve">Поступившее в комиссию по служебным спорам письменное заявление государственного гражданского служащего либо гражданина, поступающего на государственную гражданскую </w:t>
      </w:r>
      <w:r>
        <w:lastRenderedPageBreak/>
        <w:t>службу, подлежит обязательной регистрации указанной комиссией в день его подачи.</w:t>
      </w:r>
      <w:r>
        <w:br/>
        <w:t>Комиссия по служебным спорам обязана рассмотреть служебный спор в течение десяти календарных дней со дня подачи письменного заявления.</w:t>
      </w:r>
    </w:p>
    <w:p w:rsidR="00C250AD" w:rsidRDefault="0082121E" w:rsidP="00C250AD">
      <w:pPr>
        <w:spacing w:after="0" w:line="360" w:lineRule="auto"/>
        <w:ind w:firstLine="709"/>
        <w:jc w:val="both"/>
      </w:pPr>
      <w:r>
        <w:t>Решение комиссии по служебным спорам может быть обжаловано любой из сторон в суд в десятидневный срок со дня вручения ей копии решения комиссии. В случае пропуска по уважительным причинам установленного срока суд может восстановить этот срок и рассмотреть служебный спор по существу.</w:t>
      </w:r>
    </w:p>
    <w:p w:rsidR="00C250AD" w:rsidRDefault="0082121E" w:rsidP="00C250AD">
      <w:pPr>
        <w:spacing w:after="0" w:line="360" w:lineRule="auto"/>
        <w:ind w:firstLine="709"/>
        <w:jc w:val="both"/>
      </w:pPr>
      <w:r>
        <w:t>В судах рассматриваются служебные споры по письменным заявлениям</w:t>
      </w:r>
      <w:r w:rsidR="004E0C59">
        <w:t xml:space="preserve"> гражданского служащего либо </w:t>
      </w:r>
      <w:r>
        <w:t>гражданина, поступающего на государственную гражданскую службу, представителя нанимателя или представителя выборного профсоюзного органа данного государственного органа, если хотя бы один из них не согласен с решением комиссии по служебным спорам либо если государственный гражданский служащий или представитель нанимателя обращается в суд без обращения в комиссию по служебным спорам, а также по заявлению прокурора, если решение комиссии по служебным спорам не соответствует федеральным законам или иным нормативным правовым актам Российской Федерации.</w:t>
      </w:r>
    </w:p>
    <w:p w:rsidR="0053555B" w:rsidRDefault="0082121E" w:rsidP="00C250AD">
      <w:pPr>
        <w:spacing w:after="0" w:line="360" w:lineRule="auto"/>
        <w:ind w:firstLine="709"/>
        <w:jc w:val="both"/>
      </w:pPr>
      <w:r>
        <w:t>Непосредственно в судах рассматриваются также служебные споры:</w:t>
      </w:r>
      <w:r>
        <w:br/>
        <w:t>1) о неправомерном отказе в поступлении на государственную гражданскую службу;</w:t>
      </w:r>
      <w:r>
        <w:br/>
        <w:t xml:space="preserve">2) </w:t>
      </w:r>
      <w:r w:rsidR="004E0C59">
        <w:t xml:space="preserve"> </w:t>
      </w:r>
      <w:r>
        <w:t>по письменным заявлениям государственных гражданских служащих, считающих, что они подверглись дискриминации.</w:t>
      </w:r>
    </w:p>
    <w:p w:rsidR="0082121E" w:rsidRDefault="0082121E" w:rsidP="00C250AD">
      <w:pPr>
        <w:spacing w:after="0" w:line="360" w:lineRule="auto"/>
        <w:ind w:firstLine="709"/>
        <w:jc w:val="both"/>
      </w:pPr>
    </w:p>
    <w:p w:rsidR="0082121E" w:rsidRDefault="0082121E"/>
    <w:p w:rsidR="0082121E" w:rsidRDefault="0082121E"/>
    <w:p w:rsidR="0082121E" w:rsidRDefault="0082121E"/>
    <w:sectPr w:rsidR="0082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22F7"/>
    <w:multiLevelType w:val="multilevel"/>
    <w:tmpl w:val="4D203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134A3"/>
    <w:multiLevelType w:val="multilevel"/>
    <w:tmpl w:val="2B1093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C4908"/>
    <w:multiLevelType w:val="multilevel"/>
    <w:tmpl w:val="D300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758F4"/>
    <w:multiLevelType w:val="multilevel"/>
    <w:tmpl w:val="A580B3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EE4E17"/>
    <w:multiLevelType w:val="multilevel"/>
    <w:tmpl w:val="1966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10C3F"/>
    <w:multiLevelType w:val="multilevel"/>
    <w:tmpl w:val="EEC0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1E"/>
    <w:rsid w:val="000E31FD"/>
    <w:rsid w:val="004E0C59"/>
    <w:rsid w:val="0053555B"/>
    <w:rsid w:val="0082121E"/>
    <w:rsid w:val="00C250AD"/>
    <w:rsid w:val="00C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C5F8F-CD31-4124-83D8-BBFCF749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7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7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ransnadzor.ru/?wpfb_dl=230" TargetMode="External"/><Relationship Id="rId5" Type="http://schemas.openxmlformats.org/officeDocument/2006/relationships/hyperlink" Target="http://rostransnadzor.ru/?wpfb_dl=3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2018-06-20T05:38:00Z</cp:lastPrinted>
  <dcterms:created xsi:type="dcterms:W3CDTF">2018-06-27T05:55:00Z</dcterms:created>
  <dcterms:modified xsi:type="dcterms:W3CDTF">2018-06-27T05:55:00Z</dcterms:modified>
</cp:coreProperties>
</file>